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5D6A2" w14:textId="4728CD70" w:rsidR="003B610E" w:rsidRDefault="003B610E" w:rsidP="003B610E">
      <w:pPr>
        <w:spacing w:before="46"/>
        <w:ind w:left="-426"/>
        <w:rPr>
          <w:rFonts w:ascii="Arial" w:eastAsia="Arial" w:hAnsi="Arial" w:cs="Arial"/>
          <w:b/>
          <w:bCs/>
          <w:color w:val="1D3626"/>
          <w:sz w:val="48"/>
          <w:szCs w:val="48"/>
        </w:rPr>
      </w:pPr>
      <w:r>
        <w:rPr>
          <w:rFonts w:ascii="Arial" w:eastAsia="Arial" w:hAnsi="Arial" w:cs="Arial"/>
          <w:b/>
          <w:bCs/>
          <w:color w:val="1D3626"/>
          <w:sz w:val="48"/>
          <w:szCs w:val="48"/>
        </w:rPr>
        <w:t>N</w:t>
      </w:r>
      <w:r w:rsidR="00DB2474">
        <w:rPr>
          <w:rFonts w:ascii="Arial" w:eastAsia="Arial" w:hAnsi="Arial" w:cs="Arial"/>
          <w:b/>
          <w:bCs/>
          <w:color w:val="1D3626"/>
          <w:sz w:val="48"/>
          <w:szCs w:val="48"/>
        </w:rPr>
        <w:t xml:space="preserve">asce </w:t>
      </w:r>
      <w:r w:rsidR="00DB2474" w:rsidRPr="00DB2474">
        <w:rPr>
          <w:rFonts w:ascii="Arial" w:eastAsia="Arial" w:hAnsi="Arial" w:cs="Arial"/>
          <w:b/>
          <w:bCs/>
          <w:color w:val="1D3626"/>
          <w:sz w:val="48"/>
          <w:szCs w:val="48"/>
        </w:rPr>
        <w:t>uno dei</w:t>
      </w:r>
      <w:r>
        <w:rPr>
          <w:rFonts w:ascii="Arial" w:eastAsia="Arial" w:hAnsi="Arial" w:cs="Arial"/>
          <w:b/>
          <w:bCs/>
          <w:color w:val="1D3626"/>
          <w:sz w:val="48"/>
          <w:szCs w:val="48"/>
        </w:rPr>
        <w:t xml:space="preserve"> primi</w:t>
      </w:r>
      <w:r w:rsidR="00DB2474" w:rsidRPr="00DB2474">
        <w:rPr>
          <w:rFonts w:ascii="Arial" w:eastAsia="Arial" w:hAnsi="Arial" w:cs="Arial"/>
          <w:b/>
          <w:bCs/>
          <w:color w:val="1D3626"/>
          <w:sz w:val="48"/>
          <w:szCs w:val="48"/>
        </w:rPr>
        <w:t xml:space="preserve"> </w:t>
      </w:r>
      <w:r>
        <w:rPr>
          <w:rFonts w:ascii="Arial" w:eastAsia="Arial" w:hAnsi="Arial" w:cs="Arial"/>
          <w:b/>
          <w:bCs/>
          <w:color w:val="1D3626"/>
          <w:sz w:val="48"/>
          <w:szCs w:val="48"/>
        </w:rPr>
        <w:t>m</w:t>
      </w:r>
      <w:r w:rsidR="00DB2474" w:rsidRPr="00DB2474">
        <w:rPr>
          <w:rFonts w:ascii="Arial" w:eastAsia="Arial" w:hAnsi="Arial" w:cs="Arial"/>
          <w:b/>
          <w:bCs/>
          <w:color w:val="1D3626"/>
          <w:sz w:val="48"/>
          <w:szCs w:val="48"/>
        </w:rPr>
        <w:t xml:space="preserve">odelli italiani </w:t>
      </w:r>
      <w:r w:rsidR="00DB2474">
        <w:rPr>
          <w:rFonts w:ascii="Arial" w:eastAsia="Arial" w:hAnsi="Arial" w:cs="Arial"/>
          <w:b/>
          <w:bCs/>
          <w:color w:val="1D3626"/>
          <w:sz w:val="48"/>
          <w:szCs w:val="48"/>
        </w:rPr>
        <w:br/>
      </w:r>
      <w:r w:rsidR="00DB2474" w:rsidRPr="00DB2474">
        <w:rPr>
          <w:rFonts w:ascii="Arial" w:eastAsia="Arial" w:hAnsi="Arial" w:cs="Arial"/>
          <w:b/>
          <w:bCs/>
          <w:color w:val="1D3626"/>
          <w:sz w:val="48"/>
          <w:szCs w:val="48"/>
        </w:rPr>
        <w:t>di rendicontazione ESG integrata</w:t>
      </w:r>
      <w:r>
        <w:rPr>
          <w:rFonts w:ascii="Arial" w:eastAsia="Arial" w:hAnsi="Arial" w:cs="Arial"/>
          <w:b/>
          <w:bCs/>
          <w:color w:val="1D3626"/>
          <w:sz w:val="48"/>
          <w:szCs w:val="48"/>
        </w:rPr>
        <w:t xml:space="preserve"> su misura per le </w:t>
      </w:r>
      <w:r w:rsidRPr="00DB2474">
        <w:rPr>
          <w:rFonts w:ascii="Arial" w:eastAsia="Arial" w:hAnsi="Arial" w:cs="Arial"/>
          <w:b/>
          <w:bCs/>
          <w:color w:val="1D3626"/>
          <w:sz w:val="48"/>
          <w:szCs w:val="48"/>
        </w:rPr>
        <w:t xml:space="preserve">Comunità Energetiche Rinnovabili </w:t>
      </w:r>
    </w:p>
    <w:p w14:paraId="252B8D63" w14:textId="07DFB0CB" w:rsidR="006049DD" w:rsidRDefault="00DB2474" w:rsidP="006049DD">
      <w:pPr>
        <w:spacing w:before="46"/>
        <w:ind w:left="-426"/>
        <w:rPr>
          <w:rFonts w:ascii="Arial" w:eastAsia="Times New Roman" w:hAnsi="Arial" w:cs="Arial"/>
          <w:b/>
          <w:bCs/>
          <w:i/>
          <w:iCs/>
          <w:color w:val="000000"/>
          <w:sz w:val="32"/>
          <w:szCs w:val="32"/>
        </w:rPr>
      </w:pPr>
      <w:r w:rsidRPr="00DB2474">
        <w:rPr>
          <w:rFonts w:ascii="Arial" w:eastAsia="Times New Roman" w:hAnsi="Arial" w:cs="Arial"/>
          <w:b/>
          <w:bCs/>
          <w:i/>
          <w:iCs/>
          <w:color w:val="000000"/>
          <w:sz w:val="32"/>
          <w:szCs w:val="32"/>
        </w:rPr>
        <w:br/>
        <w:t>Fondazione Cariverona e ForGreen </w:t>
      </w:r>
      <w:r w:rsidR="00C60B4C">
        <w:rPr>
          <w:rFonts w:ascii="Arial" w:eastAsia="Times New Roman" w:hAnsi="Arial" w:cs="Arial"/>
          <w:b/>
          <w:bCs/>
          <w:i/>
          <w:iCs/>
          <w:color w:val="000000"/>
          <w:sz w:val="32"/>
          <w:szCs w:val="32"/>
        </w:rPr>
        <w:t>realizzano</w:t>
      </w:r>
      <w:r w:rsidR="00C60B4C" w:rsidRPr="00DB2474">
        <w:rPr>
          <w:rFonts w:ascii="Arial" w:eastAsia="Times New Roman" w:hAnsi="Arial" w:cs="Arial"/>
          <w:b/>
          <w:bCs/>
          <w:i/>
          <w:iCs/>
          <w:color w:val="000000"/>
          <w:sz w:val="32"/>
          <w:szCs w:val="32"/>
        </w:rPr>
        <w:t xml:space="preserve"> </w:t>
      </w:r>
      <w:r w:rsidRPr="00DB2474">
        <w:rPr>
          <w:rFonts w:ascii="Arial" w:eastAsia="Times New Roman" w:hAnsi="Arial" w:cs="Arial"/>
          <w:b/>
          <w:bCs/>
          <w:i/>
          <w:iCs/>
          <w:color w:val="000000"/>
          <w:sz w:val="32"/>
          <w:szCs w:val="32"/>
        </w:rPr>
        <w:t>i Report di Impatto di 14 CER: oltre 4,5 GWh di energia rinnovabile prodotta, più di 100 tonnellate di CO</w:t>
      </w:r>
      <w:r w:rsidRPr="00DB2474">
        <w:rPr>
          <w:rFonts w:ascii="Cambria Math" w:eastAsia="Times New Roman" w:hAnsi="Cambria Math" w:cs="Cambria Math"/>
          <w:b/>
          <w:bCs/>
          <w:i/>
          <w:iCs/>
          <w:color w:val="000000"/>
          <w:sz w:val="32"/>
          <w:szCs w:val="32"/>
        </w:rPr>
        <w:t>₂</w:t>
      </w:r>
      <w:r w:rsidRPr="00DB2474">
        <w:rPr>
          <w:rFonts w:ascii="Arial" w:eastAsia="Times New Roman" w:hAnsi="Arial" w:cs="Arial"/>
          <w:b/>
          <w:bCs/>
          <w:i/>
          <w:iCs/>
          <w:color w:val="000000"/>
          <w:sz w:val="32"/>
          <w:szCs w:val="32"/>
        </w:rPr>
        <w:t xml:space="preserve"> evitate e oltre 250 soci coinvolti</w:t>
      </w:r>
    </w:p>
    <w:p w14:paraId="18796447" w14:textId="77777777" w:rsidR="006049DD" w:rsidRDefault="006049DD" w:rsidP="006049DD">
      <w:pPr>
        <w:spacing w:before="46"/>
        <w:ind w:left="-426"/>
        <w:rPr>
          <w:rFonts w:ascii="Arial" w:eastAsia="Times New Roman" w:hAnsi="Arial" w:cs="Arial"/>
          <w:b/>
          <w:bCs/>
          <w:i/>
          <w:iCs/>
          <w:color w:val="000000"/>
          <w:sz w:val="32"/>
          <w:szCs w:val="32"/>
        </w:rPr>
      </w:pPr>
    </w:p>
    <w:p w14:paraId="23C2E8A5" w14:textId="5F3E4D28" w:rsidR="003B610E" w:rsidRPr="006049DD" w:rsidRDefault="00DB2474" w:rsidP="002A613E">
      <w:pPr>
        <w:spacing w:before="46"/>
        <w:ind w:left="-426"/>
        <w:jc w:val="both"/>
        <w:rPr>
          <w:rFonts w:ascii="Arial" w:eastAsia="Times New Roman" w:hAnsi="Arial" w:cs="Arial"/>
          <w:b/>
          <w:bCs/>
          <w:i/>
          <w:iCs/>
          <w:color w:val="000000"/>
          <w:sz w:val="32"/>
          <w:szCs w:val="32"/>
        </w:rPr>
      </w:pPr>
      <w:r w:rsidRPr="00DB2474">
        <w:rPr>
          <w:rFonts w:ascii="Arial" w:eastAsia="Times New Roman" w:hAnsi="Arial" w:cs="Arial"/>
          <w:color w:val="000000"/>
        </w:rPr>
        <w:t xml:space="preserve">Le Comunità Energetiche Rinnovabili sempre più spesso rappresentano infrastrutture capaci di generare impatti ambientali, sociali ed economici, attivando processi di partecipazione, inclusione e sviluppo </w:t>
      </w:r>
      <w:r>
        <w:rPr>
          <w:rFonts w:ascii="Arial" w:eastAsia="Times New Roman" w:hAnsi="Arial" w:cs="Arial"/>
          <w:color w:val="000000"/>
        </w:rPr>
        <w:t>territoriale</w:t>
      </w:r>
      <w:r w:rsidRPr="00DB2474">
        <w:rPr>
          <w:rFonts w:ascii="Arial" w:eastAsia="Times New Roman" w:hAnsi="Arial" w:cs="Arial"/>
          <w:color w:val="000000"/>
        </w:rPr>
        <w:t xml:space="preserve">: non soltanto strumenti per produrre e condividere energia pulita quindi, ma veri e propri motori di progresso. </w:t>
      </w:r>
      <w:r w:rsidR="0043454D">
        <w:rPr>
          <w:rFonts w:ascii="Arial" w:eastAsia="Times New Roman" w:hAnsi="Arial" w:cs="Arial"/>
          <w:color w:val="000000"/>
        </w:rPr>
        <w:t>A seguito del</w:t>
      </w:r>
      <w:r w:rsidR="002A613E" w:rsidRPr="0090307B">
        <w:rPr>
          <w:rFonts w:ascii="Arial" w:eastAsia="Times New Roman" w:hAnsi="Arial" w:cs="Arial"/>
          <w:color w:val="000000"/>
        </w:rPr>
        <w:t xml:space="preserve"> percorso di accompagnamento avviato da Fondazione Cariverona per sostenere la nascita e la crescita delle Comunità Energetiche Rinnovabili nei propri territori, arriva oggi uno strumento innovativo per misurarne il valore generato. </w:t>
      </w:r>
      <w:r w:rsidR="002A613E" w:rsidRPr="0090307B">
        <w:rPr>
          <w:rFonts w:ascii="Arial" w:eastAsia="Times New Roman" w:hAnsi="Arial" w:cs="Arial"/>
          <w:b/>
          <w:bCs/>
          <w:color w:val="000000"/>
        </w:rPr>
        <w:t>I Report di Impatto realizzati da ForGreen restituiscono una lettura strutturata degli effetti ambientali, sociali ed economici prodotti di 14 CER attive sul territorio italiano, andando oltre la sola dimensione energetica.</w:t>
      </w:r>
      <w:r w:rsidR="002A613E" w:rsidRPr="00DB2474" w:rsidDel="002A613E">
        <w:rPr>
          <w:rFonts w:ascii="Arial" w:eastAsia="Times New Roman" w:hAnsi="Arial" w:cs="Arial"/>
          <w:color w:val="000000"/>
        </w:rPr>
        <w:t xml:space="preserve"> </w:t>
      </w:r>
      <w:r w:rsidRPr="00DB2474">
        <w:rPr>
          <w:rFonts w:ascii="Arial" w:eastAsia="Times New Roman" w:hAnsi="Arial" w:cs="Arial"/>
          <w:b/>
          <w:bCs/>
          <w:color w:val="000000"/>
        </w:rPr>
        <w:t xml:space="preserve">L’iniziativa rappresenta una delle prime applicazioni integrate in Italia di KPI ESG, SDGs e riferimenti ESRS </w:t>
      </w:r>
      <w:r w:rsidR="003B610E">
        <w:rPr>
          <w:rFonts w:ascii="Arial" w:eastAsia="Times New Roman" w:hAnsi="Arial" w:cs="Arial"/>
          <w:b/>
          <w:bCs/>
          <w:color w:val="000000"/>
        </w:rPr>
        <w:t>ritagliata sulle esigenze specifiche del</w:t>
      </w:r>
      <w:r w:rsidRPr="00DB2474">
        <w:rPr>
          <w:rFonts w:ascii="Arial" w:eastAsia="Times New Roman" w:hAnsi="Arial" w:cs="Arial"/>
          <w:b/>
          <w:bCs/>
          <w:color w:val="000000"/>
        </w:rPr>
        <w:t xml:space="preserve"> mondo delle CER con l’obiettivo di costruire una metodologia di misurazione comparabile, verificabile e replicabile nel tempo in dialogo con il quadro europeo di sostenibilità</w:t>
      </w:r>
      <w:r w:rsidRPr="00DB2474">
        <w:rPr>
          <w:rFonts w:ascii="Arial" w:eastAsia="Times New Roman" w:hAnsi="Arial" w:cs="Arial"/>
          <w:color w:val="000000"/>
        </w:rPr>
        <w:t xml:space="preserve">. Un approccio completo e moderno che punta a superare una lettura esclusivamente energetica o economica: i 14 Report costituiscono oggi </w:t>
      </w:r>
      <w:r w:rsidRPr="00DB2474">
        <w:rPr>
          <w:rFonts w:ascii="Arial" w:eastAsia="Times New Roman" w:hAnsi="Arial" w:cs="Arial"/>
          <w:b/>
          <w:bCs/>
          <w:color w:val="000000"/>
        </w:rPr>
        <w:t>un primo osservatorio aggregato sugli impatti generati dalle CER coinvolte e i dati consolidati evidenziano la produzione di oltre 4,5 GWh di energia rinnovabile, più di 400 MWh di energia condivisa e oltre 100 tonnellate di CO</w:t>
      </w:r>
      <w:r w:rsidRPr="00DB2474">
        <w:rPr>
          <w:rFonts w:ascii="Cambria Math" w:eastAsia="Times New Roman" w:hAnsi="Cambria Math" w:cs="Cambria Math"/>
          <w:b/>
          <w:bCs/>
          <w:color w:val="000000"/>
        </w:rPr>
        <w:t>₂</w:t>
      </w:r>
      <w:r w:rsidRPr="00DB2474">
        <w:rPr>
          <w:rFonts w:ascii="Arial" w:eastAsia="Times New Roman" w:hAnsi="Arial" w:cs="Arial"/>
          <w:b/>
          <w:bCs/>
          <w:color w:val="000000"/>
        </w:rPr>
        <w:t xml:space="preserve"> evitate.</w:t>
      </w:r>
      <w:r w:rsidRPr="00DB2474">
        <w:rPr>
          <w:rFonts w:ascii="Arial" w:eastAsia="Times New Roman" w:hAnsi="Arial" w:cs="Arial"/>
          <w:color w:val="000000"/>
        </w:rPr>
        <w:t xml:space="preserve"> Sul piano sociale, il percorso ha coinvolto più di 250 soci e dato vita a circa 80 eventi territoriali dedicati alla partecipazione e alla diffusione della cultura energetica.</w:t>
      </w:r>
    </w:p>
    <w:p w14:paraId="17BD27D1" w14:textId="77777777" w:rsidR="003B610E" w:rsidRDefault="003B610E" w:rsidP="003B610E">
      <w:pPr>
        <w:pBdr>
          <w:top w:val="nil"/>
          <w:left w:val="nil"/>
          <w:bottom w:val="nil"/>
          <w:right w:val="nil"/>
          <w:between w:val="nil"/>
        </w:pBdr>
        <w:ind w:left="-426"/>
        <w:jc w:val="both"/>
        <w:rPr>
          <w:rFonts w:ascii="Arial" w:eastAsia="Times New Roman" w:hAnsi="Arial" w:cs="Arial"/>
          <w:color w:val="000000"/>
        </w:rPr>
      </w:pPr>
    </w:p>
    <w:p w14:paraId="62861B8B" w14:textId="1EDD7446" w:rsidR="00063582" w:rsidRDefault="002A613E" w:rsidP="0083010A">
      <w:pPr>
        <w:pBdr>
          <w:top w:val="nil"/>
          <w:left w:val="nil"/>
          <w:bottom w:val="nil"/>
          <w:right w:val="nil"/>
          <w:between w:val="nil"/>
        </w:pBdr>
        <w:ind w:left="-426"/>
        <w:jc w:val="both"/>
        <w:rPr>
          <w:rFonts w:ascii="Arial" w:hAnsi="Arial" w:cs="Arial"/>
          <w:lang w:val="it-IT"/>
        </w:rPr>
      </w:pPr>
      <w:r w:rsidRPr="0090307B">
        <w:rPr>
          <w:rFonts w:ascii="Arial" w:hAnsi="Arial" w:cs="Arial"/>
          <w:lang w:val="it-IT"/>
        </w:rPr>
        <w:t xml:space="preserve">Il Report di Impatto nasce nell’ambito dell’azione di accompagnamento promossa da Fondazione Cariverona a favore delle Comunità Energetiche Rinnovabili sostenute nei propri territori e si inserisce nella strategia della Fondazione volta a rafforzarne competenze, capacità organizzative e strumenti di gestione. </w:t>
      </w:r>
      <w:r w:rsidR="00AF613C">
        <w:rPr>
          <w:rFonts w:ascii="Arial" w:hAnsi="Arial" w:cs="Arial"/>
          <w:lang w:val="it-IT"/>
        </w:rPr>
        <w:t xml:space="preserve">Proprio </w:t>
      </w:r>
      <w:r w:rsidR="009314EE">
        <w:rPr>
          <w:rFonts w:ascii="Arial" w:hAnsi="Arial" w:cs="Arial"/>
          <w:lang w:val="it-IT"/>
        </w:rPr>
        <w:t>i</w:t>
      </w:r>
      <w:r w:rsidRPr="0090307B">
        <w:rPr>
          <w:rFonts w:ascii="Arial" w:hAnsi="Arial" w:cs="Arial"/>
          <w:lang w:val="it-IT"/>
        </w:rPr>
        <w:t>n questo contesto,</w:t>
      </w:r>
      <w:r w:rsidR="00586D7C">
        <w:rPr>
          <w:rFonts w:ascii="Arial" w:hAnsi="Arial" w:cs="Arial"/>
          <w:lang w:val="it-IT"/>
        </w:rPr>
        <w:t xml:space="preserve"> a ForGreen è stato </w:t>
      </w:r>
      <w:r w:rsidR="00AF613C">
        <w:rPr>
          <w:rFonts w:ascii="Arial" w:hAnsi="Arial" w:cs="Arial"/>
          <w:lang w:val="it-IT"/>
        </w:rPr>
        <w:t xml:space="preserve">recentemente </w:t>
      </w:r>
      <w:r w:rsidR="00586D7C">
        <w:rPr>
          <w:rFonts w:ascii="Arial" w:hAnsi="Arial" w:cs="Arial"/>
          <w:lang w:val="it-IT"/>
        </w:rPr>
        <w:t>affidato per il terzo anno consecutivo un servizio di advisory che si concretizzerà in un presidio tecnico-specialistico a</w:t>
      </w:r>
      <w:r w:rsidR="00247647">
        <w:rPr>
          <w:rFonts w:ascii="Arial" w:hAnsi="Arial" w:cs="Arial"/>
          <w:lang w:val="it-IT"/>
        </w:rPr>
        <w:t xml:space="preserve"> favore delle</w:t>
      </w:r>
      <w:r w:rsidR="00586D7C">
        <w:rPr>
          <w:rFonts w:ascii="Arial" w:hAnsi="Arial" w:cs="Arial"/>
          <w:lang w:val="it-IT"/>
        </w:rPr>
        <w:t xml:space="preserve"> CER ai fini del loro consolidamento definitivo prima della chiusura (attualmente fissata dal GSE al 31 dicembre 2027) delle possibilità di conferimento di nuova potenza rinnovabile nella loro disponibilità.</w:t>
      </w:r>
    </w:p>
    <w:p w14:paraId="6C6C376F" w14:textId="4F99FDDE" w:rsidR="0083010A" w:rsidRDefault="00DB2474" w:rsidP="0083010A">
      <w:pPr>
        <w:pBdr>
          <w:top w:val="nil"/>
          <w:left w:val="nil"/>
          <w:bottom w:val="nil"/>
          <w:right w:val="nil"/>
          <w:between w:val="nil"/>
        </w:pBdr>
        <w:ind w:left="-426"/>
        <w:jc w:val="both"/>
        <w:rPr>
          <w:rFonts w:ascii="Arial" w:eastAsia="Times New Roman" w:hAnsi="Arial" w:cs="Arial"/>
          <w:color w:val="000000"/>
        </w:rPr>
      </w:pPr>
      <w:r w:rsidRPr="00DB2474">
        <w:rPr>
          <w:rFonts w:ascii="Arial" w:eastAsia="Times New Roman" w:hAnsi="Arial" w:cs="Arial"/>
          <w:color w:val="000000"/>
        </w:rPr>
        <w:t xml:space="preserve">Alla base del progetto </w:t>
      </w:r>
      <w:r w:rsidR="0085476B">
        <w:rPr>
          <w:rFonts w:ascii="Arial" w:eastAsia="Times New Roman" w:hAnsi="Arial" w:cs="Arial"/>
          <w:color w:val="000000"/>
        </w:rPr>
        <w:t xml:space="preserve">di rendicontazione di impatto </w:t>
      </w:r>
      <w:r w:rsidRPr="00DB2474">
        <w:rPr>
          <w:rFonts w:ascii="Arial" w:eastAsia="Times New Roman" w:hAnsi="Arial" w:cs="Arial"/>
          <w:color w:val="000000"/>
        </w:rPr>
        <w:t>vi è la volontà di accompagnare</w:t>
      </w:r>
      <w:r w:rsidR="007250F3">
        <w:rPr>
          <w:rFonts w:ascii="Arial" w:eastAsia="Times New Roman" w:hAnsi="Arial" w:cs="Arial"/>
          <w:color w:val="000000"/>
        </w:rPr>
        <w:t xml:space="preserve"> </w:t>
      </w:r>
      <w:r w:rsidRPr="00DB2474">
        <w:rPr>
          <w:rFonts w:ascii="Arial" w:eastAsia="Times New Roman" w:hAnsi="Arial" w:cs="Arial"/>
          <w:color w:val="000000"/>
        </w:rPr>
        <w:t>le CER in un percorso di crescita e qualificazione, fornendo</w:t>
      </w:r>
      <w:r w:rsidR="00AA0CAB">
        <w:rPr>
          <w:rFonts w:ascii="Arial" w:eastAsia="Times New Roman" w:hAnsi="Arial" w:cs="Arial"/>
          <w:color w:val="000000"/>
        </w:rPr>
        <w:t xml:space="preserve"> </w:t>
      </w:r>
      <w:r w:rsidRPr="00DB2474">
        <w:rPr>
          <w:rFonts w:ascii="Arial" w:eastAsia="Times New Roman" w:hAnsi="Arial" w:cs="Arial"/>
          <w:color w:val="000000"/>
        </w:rPr>
        <w:t xml:space="preserve">strumenti concreti per misurare e raccontare il valore generato nel tempo </w:t>
      </w:r>
      <w:r w:rsidR="00EC49B1">
        <w:rPr>
          <w:rFonts w:ascii="Arial" w:eastAsia="Times New Roman" w:hAnsi="Arial" w:cs="Arial"/>
          <w:color w:val="000000"/>
        </w:rPr>
        <w:t>promuovendo</w:t>
      </w:r>
      <w:r w:rsidRPr="00DB2474">
        <w:rPr>
          <w:rFonts w:ascii="Arial" w:eastAsia="Times New Roman" w:hAnsi="Arial" w:cs="Arial"/>
          <w:color w:val="000000"/>
        </w:rPr>
        <w:t xml:space="preserve"> così la diffusione</w:t>
      </w:r>
      <w:r w:rsidR="00EC49B1">
        <w:rPr>
          <w:rFonts w:ascii="Arial" w:eastAsia="Times New Roman" w:hAnsi="Arial" w:cs="Arial"/>
          <w:color w:val="000000"/>
        </w:rPr>
        <w:t xml:space="preserve">, </w:t>
      </w:r>
      <w:r w:rsidR="00EC49B1" w:rsidRPr="00DB2474">
        <w:rPr>
          <w:rFonts w:ascii="Arial" w:eastAsia="Times New Roman" w:hAnsi="Arial" w:cs="Arial"/>
          <w:color w:val="000000"/>
        </w:rPr>
        <w:t>anche tra le piccole e medie imprese e le realtà territoriali</w:t>
      </w:r>
      <w:r w:rsidR="00EC49B1">
        <w:rPr>
          <w:rFonts w:ascii="Arial" w:eastAsia="Times New Roman" w:hAnsi="Arial" w:cs="Arial"/>
          <w:color w:val="000000"/>
        </w:rPr>
        <w:t>,</w:t>
      </w:r>
      <w:r w:rsidRPr="00DB2474">
        <w:rPr>
          <w:rFonts w:ascii="Arial" w:eastAsia="Times New Roman" w:hAnsi="Arial" w:cs="Arial"/>
          <w:color w:val="000000"/>
        </w:rPr>
        <w:t xml:space="preserve"> della cultura ESG</w:t>
      </w:r>
      <w:r w:rsidR="001B4E04">
        <w:rPr>
          <w:rFonts w:ascii="Arial" w:eastAsia="Times New Roman" w:hAnsi="Arial" w:cs="Arial"/>
          <w:color w:val="000000"/>
        </w:rPr>
        <w:t xml:space="preserve"> e della cooperazione energetica da sempre </w:t>
      </w:r>
      <w:r w:rsidR="00EC49B1">
        <w:rPr>
          <w:rFonts w:ascii="Arial" w:eastAsia="Times New Roman" w:hAnsi="Arial" w:cs="Arial"/>
          <w:color w:val="000000"/>
        </w:rPr>
        <w:t>ambito dell’attività di</w:t>
      </w:r>
      <w:r w:rsidR="001B4E04">
        <w:rPr>
          <w:rFonts w:ascii="Arial" w:eastAsia="Times New Roman" w:hAnsi="Arial" w:cs="Arial"/>
          <w:color w:val="000000"/>
        </w:rPr>
        <w:t xml:space="preserve"> ForGreen</w:t>
      </w:r>
      <w:r w:rsidRPr="00DB2474">
        <w:rPr>
          <w:rFonts w:ascii="Arial" w:eastAsia="Times New Roman" w:hAnsi="Arial" w:cs="Arial"/>
          <w:color w:val="000000"/>
        </w:rPr>
        <w:t>. Tra i benefici prodotti dalle CER, inclusione sociale, empowerment dei cittadini, redistribuzione delle risorse, cultura energetica e qualità della governance sono elementi sempre più centrali.</w:t>
      </w:r>
    </w:p>
    <w:p w14:paraId="6B049911" w14:textId="77777777" w:rsidR="0083010A" w:rsidRDefault="0083010A" w:rsidP="0083010A">
      <w:pPr>
        <w:pBdr>
          <w:top w:val="nil"/>
          <w:left w:val="nil"/>
          <w:bottom w:val="nil"/>
          <w:right w:val="nil"/>
          <w:between w:val="nil"/>
        </w:pBdr>
        <w:ind w:left="-426"/>
        <w:jc w:val="both"/>
        <w:rPr>
          <w:rFonts w:ascii="Arial" w:eastAsia="Times New Roman" w:hAnsi="Arial" w:cs="Arial"/>
          <w:color w:val="000000"/>
        </w:rPr>
      </w:pPr>
    </w:p>
    <w:p w14:paraId="3048CE0C" w14:textId="3F77A7C6" w:rsidR="00DB2474" w:rsidRDefault="00DB2474" w:rsidP="0083010A">
      <w:pPr>
        <w:pBdr>
          <w:top w:val="nil"/>
          <w:left w:val="nil"/>
          <w:bottom w:val="nil"/>
          <w:right w:val="nil"/>
          <w:between w:val="nil"/>
        </w:pBdr>
        <w:ind w:left="-426"/>
        <w:jc w:val="both"/>
        <w:rPr>
          <w:rFonts w:ascii="Arial" w:eastAsia="Times New Roman" w:hAnsi="Arial" w:cs="Arial"/>
          <w:color w:val="000000"/>
        </w:rPr>
      </w:pPr>
      <w:r w:rsidRPr="00DB2474">
        <w:rPr>
          <w:rFonts w:ascii="Arial" w:eastAsia="Times New Roman" w:hAnsi="Arial" w:cs="Arial"/>
          <w:color w:val="000000"/>
        </w:rPr>
        <w:t xml:space="preserve">Per questo motivo il modello sviluppato introduce una matrice di </w:t>
      </w:r>
      <w:r w:rsidRPr="00DB2474">
        <w:rPr>
          <w:rFonts w:ascii="Arial" w:hAnsi="Arial" w:cs="Arial"/>
          <w:b/>
          <w:bCs/>
        </w:rPr>
        <w:t xml:space="preserve">KPI che, partendo dall’operatività delle Comunità Energetiche, </w:t>
      </w:r>
      <w:r w:rsidR="00DE6044">
        <w:rPr>
          <w:rFonts w:ascii="Arial" w:hAnsi="Arial" w:cs="Arial"/>
          <w:b/>
          <w:bCs/>
        </w:rPr>
        <w:t>propone una</w:t>
      </w:r>
      <w:r w:rsidRPr="00DB2474">
        <w:rPr>
          <w:rFonts w:ascii="Arial" w:hAnsi="Arial" w:cs="Arial"/>
          <w:b/>
          <w:bCs/>
        </w:rPr>
        <w:t xml:space="preserve"> rendicontazione allineata sia a un framework globale (SDGs) sia a uno standard europeo (ESRS) </w:t>
      </w:r>
      <w:r w:rsidRPr="00DB2474">
        <w:rPr>
          <w:rFonts w:ascii="Arial" w:hAnsi="Arial" w:cs="Arial"/>
        </w:rPr>
        <w:t xml:space="preserve">e mantiene al tempo stesso la flessibilità necessaria a misurare fenomeni territoriali in modo proporzionato e contestualizzato, con l’obiettivo di rendere la rendicontazione più coerente, comparabile e verificabile nel tempo. </w:t>
      </w:r>
      <w:r w:rsidRPr="00DB2474">
        <w:rPr>
          <w:rFonts w:ascii="Arial" w:eastAsia="Times New Roman" w:hAnsi="Arial" w:cs="Arial"/>
          <w:color w:val="000000"/>
        </w:rPr>
        <w:t>Il sistema integra indicatori “hard” – come energia prodotta, emissioni evitate e risorse economiche mobilitate – ad altri “soft”, legati a partecipazione, engagement, inclusione e governance.</w:t>
      </w:r>
    </w:p>
    <w:p w14:paraId="757E96E3" w14:textId="77777777" w:rsidR="00DB2474" w:rsidRDefault="00DB2474" w:rsidP="00DB2474">
      <w:pPr>
        <w:pBdr>
          <w:top w:val="nil"/>
          <w:left w:val="nil"/>
          <w:bottom w:val="nil"/>
          <w:right w:val="nil"/>
          <w:between w:val="nil"/>
        </w:pBdr>
        <w:ind w:left="-426"/>
        <w:jc w:val="both"/>
        <w:rPr>
          <w:rFonts w:ascii="Arial" w:eastAsia="Times New Roman" w:hAnsi="Arial" w:cs="Arial"/>
          <w:color w:val="000000"/>
        </w:rPr>
      </w:pPr>
    </w:p>
    <w:p w14:paraId="4E337E2A" w14:textId="1C76D340" w:rsidR="00DB2474" w:rsidRDefault="00DE6044" w:rsidP="00DB2474">
      <w:pPr>
        <w:pBdr>
          <w:top w:val="nil"/>
          <w:left w:val="nil"/>
          <w:bottom w:val="nil"/>
          <w:right w:val="nil"/>
          <w:between w:val="nil"/>
        </w:pBdr>
        <w:ind w:left="-426"/>
        <w:jc w:val="both"/>
        <w:rPr>
          <w:rFonts w:ascii="Arial" w:eastAsia="Times New Roman" w:hAnsi="Arial" w:cs="Arial"/>
          <w:color w:val="000000"/>
        </w:rPr>
      </w:pPr>
      <w:r w:rsidRPr="00DE6044">
        <w:rPr>
          <w:rFonts w:ascii="Arial" w:eastAsia="Times New Roman" w:hAnsi="Arial" w:cs="Arial"/>
          <w:b/>
          <w:bCs/>
          <w:color w:val="000000"/>
        </w:rPr>
        <w:t xml:space="preserve">L’infrastruttura concettuale </w:t>
      </w:r>
      <w:r w:rsidR="00DB2474" w:rsidRPr="00DE6044">
        <w:rPr>
          <w:rFonts w:ascii="Arial" w:eastAsia="Times New Roman" w:hAnsi="Arial" w:cs="Arial"/>
          <w:b/>
          <w:bCs/>
          <w:color w:val="000000"/>
        </w:rPr>
        <w:t>è stat</w:t>
      </w:r>
      <w:r w:rsidRPr="00DE6044">
        <w:rPr>
          <w:rFonts w:ascii="Arial" w:eastAsia="Times New Roman" w:hAnsi="Arial" w:cs="Arial"/>
          <w:b/>
          <w:bCs/>
          <w:color w:val="000000"/>
        </w:rPr>
        <w:t>a ideata</w:t>
      </w:r>
      <w:r w:rsidR="00DB2474" w:rsidRPr="00DE6044">
        <w:rPr>
          <w:rFonts w:ascii="Arial" w:eastAsia="Times New Roman" w:hAnsi="Arial" w:cs="Arial"/>
          <w:b/>
          <w:bCs/>
          <w:color w:val="000000"/>
        </w:rPr>
        <w:t xml:space="preserve"> per mantenere al tempo stesso rigore metodologico e flessibilità operativa, consentendo alle CER di adattare la rendicontazione alle specificità territoriali e ai diversi livelli di maturità progettuale. </w:t>
      </w:r>
      <w:r w:rsidR="00DB2474" w:rsidRPr="00DB2474">
        <w:rPr>
          <w:rFonts w:ascii="Arial" w:eastAsia="Times New Roman" w:hAnsi="Arial" w:cs="Arial"/>
          <w:color w:val="000000"/>
        </w:rPr>
        <w:t xml:space="preserve">Anche le </w:t>
      </w:r>
      <w:r w:rsidR="00620370">
        <w:rPr>
          <w:rFonts w:ascii="Arial" w:eastAsia="Times New Roman" w:hAnsi="Arial" w:cs="Arial"/>
          <w:color w:val="000000"/>
        </w:rPr>
        <w:t>C</w:t>
      </w:r>
      <w:r w:rsidR="00DB2474" w:rsidRPr="00DB2474">
        <w:rPr>
          <w:rFonts w:ascii="Arial" w:eastAsia="Times New Roman" w:hAnsi="Arial" w:cs="Arial"/>
          <w:color w:val="000000"/>
        </w:rPr>
        <w:t xml:space="preserve">omunità </w:t>
      </w:r>
      <w:r w:rsidR="00620370">
        <w:rPr>
          <w:rFonts w:ascii="Arial" w:eastAsia="Times New Roman" w:hAnsi="Arial" w:cs="Arial"/>
          <w:color w:val="000000"/>
        </w:rPr>
        <w:t>E</w:t>
      </w:r>
      <w:r w:rsidR="00DB2474" w:rsidRPr="00DB2474">
        <w:rPr>
          <w:rFonts w:ascii="Arial" w:eastAsia="Times New Roman" w:hAnsi="Arial" w:cs="Arial"/>
          <w:color w:val="000000"/>
        </w:rPr>
        <w:t>nergetiche ancora in fase di avvio operativo sono state incluse nel percorso, con l’obiettivo di fornire loro un primo modello di riferimento utile per le future evoluzioni della raccolta dati e della misurazione degli impatti.</w:t>
      </w:r>
    </w:p>
    <w:p w14:paraId="37A8D0B7" w14:textId="77777777" w:rsidR="00DB2474" w:rsidRDefault="00DB2474" w:rsidP="00DB2474">
      <w:pPr>
        <w:pBdr>
          <w:top w:val="nil"/>
          <w:left w:val="nil"/>
          <w:bottom w:val="nil"/>
          <w:right w:val="nil"/>
          <w:between w:val="nil"/>
        </w:pBdr>
        <w:ind w:left="-426"/>
        <w:jc w:val="both"/>
        <w:rPr>
          <w:rFonts w:ascii="Arial" w:eastAsia="Times New Roman" w:hAnsi="Arial" w:cs="Arial"/>
          <w:color w:val="000000"/>
        </w:rPr>
      </w:pPr>
    </w:p>
    <w:p w14:paraId="078035AC" w14:textId="77777777" w:rsidR="00DB2474" w:rsidRDefault="00DB2474" w:rsidP="00DB2474">
      <w:pPr>
        <w:pBdr>
          <w:top w:val="nil"/>
          <w:left w:val="nil"/>
          <w:bottom w:val="nil"/>
          <w:right w:val="nil"/>
          <w:between w:val="nil"/>
        </w:pBdr>
        <w:ind w:left="-426"/>
        <w:jc w:val="both"/>
        <w:rPr>
          <w:rFonts w:ascii="Arial" w:eastAsia="Times New Roman" w:hAnsi="Arial" w:cs="Arial"/>
          <w:color w:val="000000"/>
        </w:rPr>
      </w:pPr>
      <w:r w:rsidRPr="00DE6044">
        <w:rPr>
          <w:rFonts w:ascii="Arial" w:eastAsia="Times New Roman" w:hAnsi="Arial" w:cs="Arial"/>
          <w:b/>
          <w:bCs/>
          <w:color w:val="000000"/>
        </w:rPr>
        <w:t>Elemento centrale del modello è inoltre l’introduzione della Teoria del Cambiamento</w:t>
      </w:r>
      <w:r w:rsidRPr="00DB2474">
        <w:rPr>
          <w:rFonts w:ascii="Arial" w:eastAsia="Times New Roman" w:hAnsi="Arial" w:cs="Arial"/>
          <w:color w:val="000000"/>
        </w:rPr>
        <w:t>, che consente di esplicitare il legame tra risorse impiegate, attività realizzate, risultati ottenuti e impatti generati nel medio-lungo periodo. Un approccio che permette di leggere in modo strutturato il contributo delle CER alla riduzione delle emissioni, al contrasto della vulnerabilità energetica, alla coesione sociale e allo sviluppo economico locale.</w:t>
      </w:r>
    </w:p>
    <w:p w14:paraId="426552A1" w14:textId="77777777" w:rsidR="00DB2474" w:rsidRDefault="00DB2474" w:rsidP="00DB2474">
      <w:pPr>
        <w:pBdr>
          <w:top w:val="nil"/>
          <w:left w:val="nil"/>
          <w:bottom w:val="nil"/>
          <w:right w:val="nil"/>
          <w:between w:val="nil"/>
        </w:pBdr>
        <w:ind w:left="-426"/>
        <w:jc w:val="both"/>
        <w:rPr>
          <w:rFonts w:ascii="Arial" w:eastAsia="Times New Roman" w:hAnsi="Arial" w:cs="Arial"/>
          <w:color w:val="000000"/>
        </w:rPr>
      </w:pPr>
    </w:p>
    <w:p w14:paraId="0762D4A2" w14:textId="5F3E74DC" w:rsidR="00DB2474" w:rsidRDefault="00DB2474" w:rsidP="00DB2474">
      <w:pPr>
        <w:pBdr>
          <w:top w:val="nil"/>
          <w:left w:val="nil"/>
          <w:bottom w:val="nil"/>
          <w:right w:val="nil"/>
          <w:between w:val="nil"/>
        </w:pBdr>
        <w:ind w:left="-426"/>
        <w:jc w:val="both"/>
        <w:rPr>
          <w:rFonts w:ascii="Arial" w:eastAsia="Times New Roman" w:hAnsi="Arial" w:cs="Arial"/>
          <w:color w:val="000000"/>
        </w:rPr>
      </w:pPr>
      <w:r w:rsidRPr="00DE6044">
        <w:rPr>
          <w:rFonts w:ascii="Arial" w:eastAsia="Times New Roman" w:hAnsi="Arial" w:cs="Arial"/>
          <w:b/>
          <w:bCs/>
          <w:color w:val="000000"/>
        </w:rPr>
        <w:t xml:space="preserve">L’inserimento dei riferimenti ESRS risponde </w:t>
      </w:r>
      <w:r w:rsidR="00DE6044" w:rsidRPr="00DE6044">
        <w:rPr>
          <w:rFonts w:ascii="Arial" w:eastAsia="Times New Roman" w:hAnsi="Arial" w:cs="Arial"/>
          <w:b/>
          <w:bCs/>
          <w:color w:val="000000"/>
        </w:rPr>
        <w:t xml:space="preserve">infine </w:t>
      </w:r>
      <w:r w:rsidRPr="00DE6044">
        <w:rPr>
          <w:rFonts w:ascii="Arial" w:eastAsia="Times New Roman" w:hAnsi="Arial" w:cs="Arial"/>
          <w:b/>
          <w:bCs/>
          <w:color w:val="000000"/>
        </w:rPr>
        <w:t>alla crescente esigenza di allineare le pratiche di sostenibilità agli standard europei, favorendo al tempo stesso l’integrazione dei risultati delle CER nelle rendicontazioni ESG di imprese e PMI aderenti</w:t>
      </w:r>
      <w:r w:rsidRPr="00DB2474">
        <w:rPr>
          <w:rFonts w:ascii="Arial" w:eastAsia="Times New Roman" w:hAnsi="Arial" w:cs="Arial"/>
          <w:color w:val="000000"/>
        </w:rPr>
        <w:t>. Un aspetto particolarmente rilevante in un contesto in cui anche le piccole e medie imprese sono sempre più coinvolte nei processi di reporting di sostenibilità lungo la catena del valore.</w:t>
      </w:r>
    </w:p>
    <w:p w14:paraId="7C9E334D" w14:textId="77777777" w:rsidR="00943BB0" w:rsidRDefault="00943BB0" w:rsidP="00DB2474">
      <w:pPr>
        <w:pBdr>
          <w:top w:val="nil"/>
          <w:left w:val="nil"/>
          <w:bottom w:val="nil"/>
          <w:right w:val="nil"/>
          <w:between w:val="nil"/>
        </w:pBdr>
        <w:ind w:left="-426"/>
        <w:jc w:val="both"/>
        <w:rPr>
          <w:rFonts w:ascii="Arial" w:eastAsia="Times New Roman" w:hAnsi="Arial" w:cs="Arial"/>
          <w:color w:val="000000"/>
        </w:rPr>
      </w:pPr>
    </w:p>
    <w:p w14:paraId="4E3CB029" w14:textId="3F2BCA2E" w:rsidR="00943BB0" w:rsidRDefault="00943BB0" w:rsidP="00DB2474">
      <w:pPr>
        <w:pBdr>
          <w:top w:val="nil"/>
          <w:left w:val="nil"/>
          <w:bottom w:val="nil"/>
          <w:right w:val="nil"/>
          <w:between w:val="nil"/>
        </w:pBdr>
        <w:ind w:left="-426"/>
        <w:jc w:val="both"/>
        <w:rPr>
          <w:rFonts w:ascii="Arial" w:eastAsia="Times New Roman" w:hAnsi="Arial" w:cs="Arial"/>
          <w:color w:val="000000"/>
        </w:rPr>
      </w:pPr>
      <w:r w:rsidRPr="0090307B">
        <w:rPr>
          <w:rFonts w:ascii="Arial" w:eastAsia="Times New Roman" w:hAnsi="Arial" w:cs="Arial"/>
          <w:color w:val="000000"/>
        </w:rPr>
        <w:t xml:space="preserve">Il percorso rappresenta un </w:t>
      </w:r>
      <w:r w:rsidRPr="0090307B">
        <w:rPr>
          <w:rFonts w:ascii="Arial" w:eastAsia="Times New Roman" w:hAnsi="Arial" w:cs="Arial"/>
          <w:b/>
          <w:bCs/>
          <w:color w:val="000000"/>
        </w:rPr>
        <w:t>ulteriore tassello</w:t>
      </w:r>
      <w:r w:rsidRPr="0090307B">
        <w:rPr>
          <w:rFonts w:ascii="Arial" w:eastAsia="Times New Roman" w:hAnsi="Arial" w:cs="Arial"/>
          <w:color w:val="000000"/>
        </w:rPr>
        <w:t xml:space="preserve"> dell’impegno di Fondazione Cariverona nel sostenere modelli capaci di coniugare transizione energetica, innovazione sociale e sviluppo territoriale. Dopo aver accompagnato la nascita e il consolidamento delle Comunità Energetiche Rinnovabili nei propri territori, la Fondazione promuove anche l’adozione di strumenti capaci di </w:t>
      </w:r>
      <w:r w:rsidRPr="0090307B">
        <w:rPr>
          <w:rFonts w:ascii="Arial" w:eastAsia="Times New Roman" w:hAnsi="Arial" w:cs="Arial"/>
          <w:b/>
          <w:bCs/>
          <w:color w:val="000000"/>
        </w:rPr>
        <w:t>misurare e rendere visibile il valore generato dalle CER</w:t>
      </w:r>
      <w:r w:rsidRPr="0090307B">
        <w:rPr>
          <w:rFonts w:ascii="Arial" w:eastAsia="Times New Roman" w:hAnsi="Arial" w:cs="Arial"/>
          <w:color w:val="000000"/>
        </w:rPr>
        <w:t xml:space="preserve">, rafforzandone la capacità di </w:t>
      </w:r>
      <w:r w:rsidRPr="0090307B">
        <w:rPr>
          <w:rFonts w:ascii="Arial" w:eastAsia="Times New Roman" w:hAnsi="Arial" w:cs="Arial"/>
          <w:b/>
          <w:bCs/>
          <w:color w:val="000000"/>
        </w:rPr>
        <w:t>evolvere nel tempo</w:t>
      </w:r>
      <w:r w:rsidRPr="0090307B">
        <w:rPr>
          <w:rFonts w:ascii="Arial" w:eastAsia="Times New Roman" w:hAnsi="Arial" w:cs="Arial"/>
          <w:color w:val="000000"/>
        </w:rPr>
        <w:t xml:space="preserve"> e di diventare </w:t>
      </w:r>
      <w:r w:rsidRPr="0090307B">
        <w:rPr>
          <w:rFonts w:ascii="Arial" w:eastAsia="Times New Roman" w:hAnsi="Arial" w:cs="Arial"/>
          <w:b/>
          <w:bCs/>
          <w:color w:val="000000"/>
        </w:rPr>
        <w:t>esperienze replicabili</w:t>
      </w:r>
      <w:r w:rsidR="006049DD" w:rsidRPr="0090307B">
        <w:rPr>
          <w:rFonts w:ascii="Arial" w:eastAsia="Times New Roman" w:hAnsi="Arial" w:cs="Arial"/>
          <w:color w:val="000000"/>
        </w:rPr>
        <w:t>.</w:t>
      </w:r>
    </w:p>
    <w:p w14:paraId="344F7F72" w14:textId="77777777" w:rsidR="00943BB0" w:rsidRDefault="00943BB0" w:rsidP="00DB2474">
      <w:pPr>
        <w:pBdr>
          <w:top w:val="nil"/>
          <w:left w:val="nil"/>
          <w:bottom w:val="nil"/>
          <w:right w:val="nil"/>
          <w:between w:val="nil"/>
        </w:pBdr>
        <w:ind w:left="-426"/>
        <w:jc w:val="both"/>
        <w:rPr>
          <w:rFonts w:ascii="Arial" w:eastAsia="Times New Roman" w:hAnsi="Arial" w:cs="Arial"/>
          <w:color w:val="000000"/>
        </w:rPr>
      </w:pPr>
    </w:p>
    <w:p w14:paraId="65C2AA06" w14:textId="26512B09" w:rsidR="00DB2474" w:rsidRPr="00890DB7" w:rsidRDefault="00DB2474" w:rsidP="00DB2474">
      <w:pPr>
        <w:pBdr>
          <w:top w:val="nil"/>
          <w:left w:val="nil"/>
          <w:bottom w:val="nil"/>
          <w:right w:val="nil"/>
          <w:between w:val="nil"/>
        </w:pBdr>
        <w:ind w:left="-426"/>
        <w:jc w:val="both"/>
        <w:rPr>
          <w:rFonts w:ascii="Arial" w:hAnsi="Arial" w:cs="Arial"/>
        </w:rPr>
      </w:pPr>
      <w:r w:rsidRPr="00DB2474">
        <w:rPr>
          <w:rFonts w:ascii="Arial" w:eastAsia="Times New Roman" w:hAnsi="Arial" w:cs="Arial"/>
          <w:color w:val="000000"/>
        </w:rPr>
        <w:t xml:space="preserve">“La pubblicazione di questi report costituisce un passaggio che riteniamo particolarmente rilevante all’interno del percorso di advisory intrapreso su incarico di Fondazione Cariverona a favore di 14 CER sul territorio italiano, in quanto consente di restituire in modo strutturato il valore generato dalle comunità al di là del puro risultato economico, consolidando un approccio sempre più consapevole e orientato alla misurazione degli impatti, con particolare riferimento alla dimensione ESG. </w:t>
      </w:r>
      <w:r w:rsidR="001B4E04">
        <w:rPr>
          <w:rFonts w:ascii="Arial" w:eastAsia="Times New Roman" w:hAnsi="Arial" w:cs="Arial"/>
          <w:color w:val="000000"/>
        </w:rPr>
        <w:t>Si tratta di una tappa che mette a disposizione la nostra esperienza nell’energy sharing per la</w:t>
      </w:r>
      <w:r w:rsidRPr="00DB2474">
        <w:rPr>
          <w:rFonts w:ascii="Arial" w:eastAsia="Times New Roman" w:hAnsi="Arial" w:cs="Arial"/>
          <w:color w:val="000000"/>
        </w:rPr>
        <w:t xml:space="preserve"> crescita e qualificazione delle </w:t>
      </w:r>
      <w:r w:rsidR="00620370">
        <w:rPr>
          <w:rFonts w:ascii="Arial" w:eastAsia="Times New Roman" w:hAnsi="Arial" w:cs="Arial"/>
          <w:color w:val="000000"/>
        </w:rPr>
        <w:t>C</w:t>
      </w:r>
      <w:r w:rsidRPr="00DB2474">
        <w:rPr>
          <w:rFonts w:ascii="Arial" w:eastAsia="Times New Roman" w:hAnsi="Arial" w:cs="Arial"/>
          <w:color w:val="000000"/>
        </w:rPr>
        <w:t xml:space="preserve">omunità </w:t>
      </w:r>
      <w:r w:rsidR="00620370">
        <w:rPr>
          <w:rFonts w:ascii="Arial" w:eastAsia="Times New Roman" w:hAnsi="Arial" w:cs="Arial"/>
          <w:color w:val="000000"/>
        </w:rPr>
        <w:t>E</w:t>
      </w:r>
      <w:r w:rsidRPr="00DB2474">
        <w:rPr>
          <w:rFonts w:ascii="Arial" w:eastAsia="Times New Roman" w:hAnsi="Arial" w:cs="Arial"/>
          <w:color w:val="000000"/>
        </w:rPr>
        <w:t xml:space="preserve">nergetiche, </w:t>
      </w:r>
      <w:r w:rsidR="001B4E04">
        <w:rPr>
          <w:rFonts w:ascii="Arial" w:eastAsia="Times New Roman" w:hAnsi="Arial" w:cs="Arial"/>
          <w:color w:val="000000"/>
        </w:rPr>
        <w:t xml:space="preserve">con la speranza </w:t>
      </w:r>
      <w:r w:rsidRPr="00DB2474">
        <w:rPr>
          <w:rFonts w:ascii="Arial" w:eastAsia="Times New Roman" w:hAnsi="Arial" w:cs="Arial"/>
          <w:color w:val="000000"/>
        </w:rPr>
        <w:t>che contribuisc</w:t>
      </w:r>
      <w:r w:rsidR="001B4E04">
        <w:rPr>
          <w:rFonts w:ascii="Arial" w:eastAsia="Times New Roman" w:hAnsi="Arial" w:cs="Arial"/>
          <w:color w:val="000000"/>
        </w:rPr>
        <w:t>a</w:t>
      </w:r>
      <w:r w:rsidRPr="00DB2474">
        <w:rPr>
          <w:rFonts w:ascii="Arial" w:eastAsia="Times New Roman" w:hAnsi="Arial" w:cs="Arial"/>
          <w:color w:val="000000"/>
        </w:rPr>
        <w:t xml:space="preserve"> a rafforzarne il posizionamento strategico e la capacità di generare valore per i territori di riferimento e per i propri soci” commenta </w:t>
      </w:r>
      <w:r w:rsidRPr="00890DB7">
        <w:rPr>
          <w:rFonts w:ascii="Arial" w:hAnsi="Arial" w:cs="Arial"/>
          <w:b/>
          <w:bCs/>
        </w:rPr>
        <w:t xml:space="preserve">Gabriele Nicolis, </w:t>
      </w:r>
      <w:r w:rsidRPr="00890DB7">
        <w:rPr>
          <w:rFonts w:ascii="Arial" w:hAnsi="Arial" w:cs="Arial"/>
        </w:rPr>
        <w:t>AD ForGreen Spa Sb</w:t>
      </w:r>
      <w:r w:rsidR="00890DB7" w:rsidRPr="00890DB7">
        <w:rPr>
          <w:rFonts w:ascii="Arial" w:hAnsi="Arial" w:cs="Arial"/>
        </w:rPr>
        <w:t>.</w:t>
      </w:r>
    </w:p>
    <w:p w14:paraId="7B0E8373" w14:textId="77777777" w:rsidR="00B0765F" w:rsidRDefault="00B0765F" w:rsidP="00DB2474">
      <w:pPr>
        <w:pBdr>
          <w:top w:val="nil"/>
          <w:left w:val="nil"/>
          <w:bottom w:val="nil"/>
          <w:right w:val="nil"/>
          <w:between w:val="nil"/>
        </w:pBdr>
        <w:ind w:left="-426"/>
        <w:jc w:val="both"/>
        <w:rPr>
          <w:rFonts w:ascii="Arial" w:hAnsi="Arial" w:cs="Arial"/>
        </w:rPr>
      </w:pPr>
    </w:p>
    <w:p w14:paraId="008A4F7B" w14:textId="02E32C4E" w:rsidR="006049DD" w:rsidRDefault="006049DD" w:rsidP="00B0765F">
      <w:pPr>
        <w:pBdr>
          <w:top w:val="nil"/>
          <w:left w:val="nil"/>
          <w:bottom w:val="nil"/>
          <w:right w:val="nil"/>
          <w:between w:val="nil"/>
        </w:pBdr>
        <w:ind w:left="-426"/>
        <w:jc w:val="both"/>
        <w:rPr>
          <w:rFonts w:ascii="Arial" w:eastAsia="Times New Roman" w:hAnsi="Arial" w:cs="Arial"/>
          <w:color w:val="000000"/>
        </w:rPr>
      </w:pPr>
      <w:r w:rsidRPr="002A613E">
        <w:rPr>
          <w:rFonts w:ascii="Arial" w:eastAsia="Times New Roman" w:hAnsi="Arial" w:cs="Arial"/>
          <w:b/>
          <w:bCs/>
          <w:color w:val="000000"/>
        </w:rPr>
        <w:t>Filippo Manfredi</w:t>
      </w:r>
      <w:r w:rsidRPr="002A613E">
        <w:rPr>
          <w:rFonts w:ascii="Arial" w:eastAsia="Times New Roman" w:hAnsi="Arial" w:cs="Arial"/>
          <w:color w:val="000000"/>
        </w:rPr>
        <w:t xml:space="preserve">, direttore generale Fondazione Cariverona: “Le Comunità Energetiche Rinnovabili rappresentano per Fondazione Cariverona molto più di un nuovo modello di produzione e condivisione dell’energia: sono strumenti capaci di generare </w:t>
      </w:r>
      <w:r w:rsidRPr="002A613E">
        <w:rPr>
          <w:rFonts w:ascii="Arial" w:eastAsia="Times New Roman" w:hAnsi="Arial" w:cs="Arial"/>
          <w:b/>
          <w:bCs/>
          <w:color w:val="000000"/>
        </w:rPr>
        <w:t>valore ambientale, sociale ed economico</w:t>
      </w:r>
      <w:r w:rsidRPr="002A613E">
        <w:rPr>
          <w:rFonts w:ascii="Arial" w:eastAsia="Times New Roman" w:hAnsi="Arial" w:cs="Arial"/>
          <w:color w:val="000000"/>
        </w:rPr>
        <w:t xml:space="preserve"> nei territori, rafforzando partecipazione</w:t>
      </w:r>
      <w:r w:rsidR="005969F2" w:rsidRPr="002A613E">
        <w:rPr>
          <w:rFonts w:ascii="Arial" w:eastAsia="Times New Roman" w:hAnsi="Arial" w:cs="Arial"/>
          <w:color w:val="000000"/>
        </w:rPr>
        <w:t xml:space="preserve"> </w:t>
      </w:r>
      <w:r w:rsidRPr="002A613E">
        <w:rPr>
          <w:rFonts w:ascii="Arial" w:eastAsia="Times New Roman" w:hAnsi="Arial" w:cs="Arial"/>
          <w:color w:val="000000"/>
        </w:rPr>
        <w:t xml:space="preserve">e consapevolezza. Per questo motivo abbiamo scelto di accompagnare le CER sostenute dalla Fondazione lungo un percorso che andasse </w:t>
      </w:r>
      <w:r w:rsidRPr="002A613E">
        <w:rPr>
          <w:rFonts w:ascii="Arial" w:eastAsia="Times New Roman" w:hAnsi="Arial" w:cs="Arial"/>
          <w:b/>
          <w:bCs/>
          <w:color w:val="000000"/>
        </w:rPr>
        <w:t>oltre la fase di costituzione</w:t>
      </w:r>
      <w:r w:rsidRPr="002A613E">
        <w:rPr>
          <w:rFonts w:ascii="Arial" w:eastAsia="Times New Roman" w:hAnsi="Arial" w:cs="Arial"/>
          <w:color w:val="000000"/>
        </w:rPr>
        <w:t xml:space="preserve">, investendo nello sviluppo di </w:t>
      </w:r>
      <w:r w:rsidRPr="002A613E">
        <w:rPr>
          <w:rFonts w:ascii="Arial" w:eastAsia="Times New Roman" w:hAnsi="Arial" w:cs="Arial"/>
          <w:b/>
          <w:bCs/>
          <w:color w:val="000000"/>
        </w:rPr>
        <w:t>competenze, strumenti e capacità organizzative</w:t>
      </w:r>
      <w:r w:rsidRPr="002A613E">
        <w:rPr>
          <w:rFonts w:ascii="Arial" w:eastAsia="Times New Roman" w:hAnsi="Arial" w:cs="Arial"/>
          <w:color w:val="000000"/>
        </w:rPr>
        <w:t xml:space="preserve">. La realizzazione dei Report di Impatto rappresenta un ulteriore passo in questa direzione, perché consente di </w:t>
      </w:r>
      <w:r w:rsidRPr="002A613E">
        <w:rPr>
          <w:rFonts w:ascii="Arial" w:eastAsia="Times New Roman" w:hAnsi="Arial" w:cs="Arial"/>
          <w:b/>
          <w:bCs/>
          <w:color w:val="000000"/>
        </w:rPr>
        <w:t xml:space="preserve">misurare </w:t>
      </w:r>
      <w:r w:rsidRPr="002A613E">
        <w:rPr>
          <w:rFonts w:ascii="Arial" w:eastAsia="Times New Roman" w:hAnsi="Arial" w:cs="Arial"/>
          <w:color w:val="000000"/>
        </w:rPr>
        <w:t>e</w:t>
      </w:r>
      <w:r w:rsidRPr="002A613E">
        <w:rPr>
          <w:rFonts w:ascii="Arial" w:eastAsia="Times New Roman" w:hAnsi="Arial" w:cs="Arial"/>
          <w:b/>
          <w:bCs/>
          <w:color w:val="000000"/>
        </w:rPr>
        <w:t xml:space="preserve"> rendere visibili</w:t>
      </w:r>
      <w:r w:rsidRPr="002A613E">
        <w:rPr>
          <w:rFonts w:ascii="Arial" w:eastAsia="Times New Roman" w:hAnsi="Arial" w:cs="Arial"/>
          <w:color w:val="000000"/>
        </w:rPr>
        <w:t xml:space="preserve"> i risultati prodotti dalle comunità, valorizzandone il contributo alla transizione ecologica e allo sviluppo dei territori. Solo attraverso </w:t>
      </w:r>
      <w:r w:rsidRPr="002A613E">
        <w:rPr>
          <w:rFonts w:ascii="Arial" w:eastAsia="Times New Roman" w:hAnsi="Arial" w:cs="Arial"/>
          <w:b/>
          <w:bCs/>
          <w:color w:val="000000"/>
        </w:rPr>
        <w:t>strumenti di conoscenza e monitoraggio</w:t>
      </w:r>
      <w:r w:rsidRPr="002A613E">
        <w:rPr>
          <w:rFonts w:ascii="Arial" w:eastAsia="Times New Roman" w:hAnsi="Arial" w:cs="Arial"/>
          <w:color w:val="000000"/>
        </w:rPr>
        <w:t xml:space="preserve"> sarà possibile consolidare questi modelli, favorirne l’evoluzione e renderli replicabili in altri contesti”.</w:t>
      </w:r>
    </w:p>
    <w:p w14:paraId="6EBA5668" w14:textId="77777777" w:rsidR="00DB2474" w:rsidRDefault="00DB2474" w:rsidP="0090307B">
      <w:pPr>
        <w:pBdr>
          <w:top w:val="nil"/>
          <w:left w:val="nil"/>
          <w:bottom w:val="nil"/>
          <w:right w:val="nil"/>
          <w:between w:val="nil"/>
        </w:pBdr>
        <w:jc w:val="both"/>
        <w:rPr>
          <w:rFonts w:ascii="Arial" w:eastAsia="Times New Roman" w:hAnsi="Arial" w:cs="Arial"/>
          <w:color w:val="000000"/>
        </w:rPr>
      </w:pPr>
    </w:p>
    <w:p w14:paraId="4682AA98" w14:textId="3D052B68" w:rsidR="00DB2474" w:rsidRDefault="00DB2474" w:rsidP="00DE6044">
      <w:pPr>
        <w:pBdr>
          <w:top w:val="nil"/>
          <w:left w:val="nil"/>
          <w:bottom w:val="nil"/>
          <w:right w:val="nil"/>
          <w:between w:val="nil"/>
        </w:pBdr>
        <w:ind w:left="-426"/>
        <w:jc w:val="both"/>
        <w:rPr>
          <w:rFonts w:ascii="Arial" w:eastAsia="Times New Roman" w:hAnsi="Arial" w:cs="Arial"/>
          <w:color w:val="000000"/>
        </w:rPr>
      </w:pPr>
      <w:r w:rsidRPr="00DB2474">
        <w:rPr>
          <w:rFonts w:ascii="Arial" w:eastAsia="Times New Roman" w:hAnsi="Arial" w:cs="Arial"/>
          <w:color w:val="000000"/>
        </w:rPr>
        <w:t>Con questo progetto, Fondazione Cariverona conferma</w:t>
      </w:r>
      <w:r w:rsidR="00B0765F">
        <w:rPr>
          <w:rFonts w:ascii="Arial" w:eastAsia="Times New Roman" w:hAnsi="Arial" w:cs="Arial"/>
          <w:color w:val="000000"/>
        </w:rPr>
        <w:t xml:space="preserve"> quindi </w:t>
      </w:r>
      <w:r w:rsidRPr="00DB2474">
        <w:rPr>
          <w:rFonts w:ascii="Arial" w:eastAsia="Times New Roman" w:hAnsi="Arial" w:cs="Arial"/>
          <w:color w:val="000000"/>
        </w:rPr>
        <w:t>il proprio ruolo nel promuovere percorsi di accompagnamento e qualificazione delle Comunità Energetiche, sostenendo modelli capaci di coniugare transizione energetica, innovazione sociale e sviluppo territoriale. Parallelamente, ForGreen consolida la propria esperienza nello sviluppo metodologico e nell’accompagnamento operativo delle CER, contribuendo alla definizione di strumenti potenzialmente scalabili anche a livello nazionale.</w:t>
      </w:r>
      <w:r w:rsidR="00DE6044">
        <w:rPr>
          <w:rFonts w:ascii="Arial" w:eastAsia="Times New Roman" w:hAnsi="Arial" w:cs="Arial"/>
          <w:color w:val="000000"/>
        </w:rPr>
        <w:t xml:space="preserve"> </w:t>
      </w:r>
      <w:r w:rsidRPr="00DB2474">
        <w:rPr>
          <w:rFonts w:ascii="Arial" w:eastAsia="Times New Roman" w:hAnsi="Arial" w:cs="Arial"/>
          <w:color w:val="000000"/>
        </w:rPr>
        <w:t>Il modello sviluppato rappresenta infatti un’esperienza innovativa nel panorama italiano delle Comunità Energetiche, destinata a evolversi negli anni come strumento di monitoraggio, comparazione e miglioramento continuo degli impatti</w:t>
      </w:r>
      <w:r w:rsidR="00DE6044">
        <w:rPr>
          <w:rFonts w:ascii="Arial" w:eastAsia="Times New Roman" w:hAnsi="Arial" w:cs="Arial"/>
          <w:color w:val="000000"/>
        </w:rPr>
        <w:t xml:space="preserve"> generati</w:t>
      </w:r>
      <w:r w:rsidRPr="00DB2474">
        <w:rPr>
          <w:rFonts w:ascii="Arial" w:eastAsia="Times New Roman" w:hAnsi="Arial" w:cs="Arial"/>
          <w:color w:val="000000"/>
        </w:rPr>
        <w:t xml:space="preserve"> sui territori.</w:t>
      </w:r>
    </w:p>
    <w:p w14:paraId="1B91031D" w14:textId="45343089" w:rsidR="00687597" w:rsidRPr="00687597" w:rsidRDefault="00687597" w:rsidP="00687597">
      <w:pPr>
        <w:jc w:val="center"/>
        <w:rPr>
          <w:rFonts w:ascii="Arial" w:eastAsia="Times New Roman" w:hAnsi="Arial" w:cs="Arial"/>
          <w:color w:val="000000"/>
          <w:sz w:val="20"/>
          <w:szCs w:val="20"/>
          <w:lang w:val="it-IT"/>
        </w:rPr>
      </w:pPr>
      <w:r w:rsidRPr="00687597">
        <w:rPr>
          <w:rFonts w:ascii="Arial" w:eastAsia="Times New Roman" w:hAnsi="Arial" w:cs="Arial"/>
          <w:b/>
          <w:bCs/>
          <w:i/>
          <w:iCs/>
          <w:color w:val="000000"/>
          <w:sz w:val="20"/>
          <w:szCs w:val="20"/>
          <w:lang w:val="it-IT"/>
        </w:rPr>
        <w:br/>
        <w:t>– FINE –</w:t>
      </w:r>
      <w:r w:rsidRPr="00687597">
        <w:rPr>
          <w:rFonts w:ascii="Arial" w:eastAsia="Times New Roman" w:hAnsi="Arial" w:cs="Arial"/>
          <w:color w:val="000000"/>
          <w:sz w:val="20"/>
          <w:szCs w:val="20"/>
          <w:lang w:val="it-IT"/>
        </w:rPr>
        <w:br/>
      </w:r>
    </w:p>
    <w:p w14:paraId="25311F6B" w14:textId="77777777" w:rsidR="00687597" w:rsidRPr="00687597" w:rsidRDefault="00687597" w:rsidP="00687597">
      <w:pPr>
        <w:ind w:left="-426"/>
        <w:jc w:val="both"/>
        <w:rPr>
          <w:rFonts w:ascii="Arial" w:eastAsia="Times New Roman" w:hAnsi="Arial" w:cs="Arial"/>
          <w:color w:val="000000"/>
          <w:sz w:val="20"/>
          <w:szCs w:val="20"/>
          <w:lang w:val="it-IT"/>
        </w:rPr>
      </w:pPr>
      <w:r w:rsidRPr="00687597">
        <w:rPr>
          <w:rFonts w:ascii="Arial" w:eastAsia="Times New Roman" w:hAnsi="Arial" w:cs="Arial"/>
          <w:b/>
          <w:bCs/>
          <w:color w:val="000000"/>
          <w:sz w:val="20"/>
          <w:szCs w:val="20"/>
          <w:u w:val="single"/>
          <w:lang w:val="it-IT"/>
        </w:rPr>
        <w:t>Contatti per la stampa</w:t>
      </w:r>
    </w:p>
    <w:p w14:paraId="688F01F8" w14:textId="77777777" w:rsidR="00687597" w:rsidRPr="00687597" w:rsidRDefault="00687597" w:rsidP="00687597">
      <w:pPr>
        <w:ind w:left="-426"/>
        <w:jc w:val="both"/>
        <w:rPr>
          <w:rFonts w:ascii="Arial" w:eastAsia="Times New Roman" w:hAnsi="Arial" w:cs="Arial"/>
          <w:color w:val="000000"/>
          <w:sz w:val="20"/>
          <w:szCs w:val="20"/>
          <w:lang w:val="it-IT"/>
        </w:rPr>
      </w:pPr>
      <w:r w:rsidRPr="00687597">
        <w:rPr>
          <w:rFonts w:ascii="Arial" w:eastAsia="Times New Roman" w:hAnsi="Arial" w:cs="Arial"/>
          <w:b/>
          <w:bCs/>
          <w:color w:val="000000"/>
          <w:sz w:val="20"/>
          <w:szCs w:val="20"/>
          <w:lang w:val="it-IT"/>
        </w:rPr>
        <w:t>ReputationLab</w:t>
      </w:r>
    </w:p>
    <w:p w14:paraId="514B667A" w14:textId="77777777" w:rsidR="00687597" w:rsidRPr="00687597" w:rsidRDefault="00687597" w:rsidP="00687597">
      <w:pPr>
        <w:ind w:left="-426"/>
        <w:jc w:val="both"/>
        <w:rPr>
          <w:rFonts w:ascii="Arial" w:eastAsia="Times New Roman" w:hAnsi="Arial" w:cs="Arial"/>
          <w:color w:val="000000"/>
          <w:sz w:val="20"/>
          <w:szCs w:val="20"/>
          <w:lang w:val="it-IT"/>
        </w:rPr>
      </w:pPr>
      <w:r w:rsidRPr="00687597">
        <w:rPr>
          <w:rFonts w:ascii="Arial" w:eastAsia="Times New Roman" w:hAnsi="Arial" w:cs="Arial"/>
          <w:color w:val="000000"/>
          <w:sz w:val="20"/>
          <w:szCs w:val="20"/>
          <w:lang w:val="it-IT"/>
        </w:rPr>
        <w:t xml:space="preserve">Alessandro Garavaglia, 338.9099342, </w:t>
      </w:r>
      <w:hyperlink r:id="rId11" w:history="1">
        <w:r w:rsidRPr="00687597">
          <w:rPr>
            <w:rFonts w:ascii="Arial" w:eastAsia="Times New Roman" w:hAnsi="Arial" w:cs="Arial"/>
            <w:color w:val="0000FF"/>
            <w:sz w:val="20"/>
            <w:szCs w:val="20"/>
            <w:u w:val="single"/>
            <w:lang w:val="it-IT"/>
          </w:rPr>
          <w:t>press@reputationlab.it</w:t>
        </w:r>
      </w:hyperlink>
      <w:r w:rsidRPr="00687597">
        <w:rPr>
          <w:rFonts w:ascii="Arial" w:eastAsia="Times New Roman" w:hAnsi="Arial" w:cs="Arial"/>
          <w:color w:val="000000"/>
          <w:sz w:val="20"/>
          <w:szCs w:val="20"/>
          <w:lang w:val="it-IT"/>
        </w:rPr>
        <w:t> </w:t>
      </w:r>
    </w:p>
    <w:p w14:paraId="54A738ED" w14:textId="77777777" w:rsidR="00687597" w:rsidRPr="00687597" w:rsidRDefault="00687597" w:rsidP="00687597">
      <w:pPr>
        <w:ind w:left="-426"/>
        <w:rPr>
          <w:rFonts w:ascii="Arial" w:eastAsia="Times New Roman" w:hAnsi="Arial" w:cs="Arial"/>
          <w:color w:val="000000"/>
          <w:sz w:val="20"/>
          <w:szCs w:val="20"/>
          <w:lang w:val="it-IT"/>
        </w:rPr>
      </w:pPr>
      <w:r w:rsidRPr="00687597">
        <w:rPr>
          <w:rFonts w:ascii="Arial" w:eastAsia="Times New Roman" w:hAnsi="Arial" w:cs="Arial"/>
          <w:color w:val="000000"/>
          <w:sz w:val="20"/>
          <w:szCs w:val="20"/>
          <w:lang w:val="it-IT"/>
        </w:rPr>
        <w:t xml:space="preserve">Santina Giannone, 339.7047770, </w:t>
      </w:r>
      <w:hyperlink r:id="rId12" w:history="1">
        <w:r w:rsidRPr="00687597">
          <w:rPr>
            <w:rFonts w:ascii="Arial" w:eastAsia="Times New Roman" w:hAnsi="Arial" w:cs="Arial"/>
            <w:color w:val="0000FF"/>
            <w:sz w:val="20"/>
            <w:szCs w:val="20"/>
            <w:u w:val="single"/>
            <w:lang w:val="it-IT"/>
          </w:rPr>
          <w:t>santina@reputationlab.it</w:t>
        </w:r>
      </w:hyperlink>
    </w:p>
    <w:p w14:paraId="2E3FB770" w14:textId="77777777" w:rsidR="00687597" w:rsidRPr="00687597" w:rsidRDefault="00687597" w:rsidP="00687597">
      <w:pPr>
        <w:spacing w:after="240"/>
        <w:rPr>
          <w:rFonts w:ascii="Arial" w:eastAsia="Times New Roman" w:hAnsi="Arial" w:cs="Arial"/>
          <w:sz w:val="20"/>
          <w:szCs w:val="20"/>
          <w:lang w:val="it-IT"/>
        </w:rPr>
      </w:pPr>
    </w:p>
    <w:p w14:paraId="5D6D0745" w14:textId="77777777" w:rsidR="00687597" w:rsidRPr="00687597" w:rsidRDefault="00687597" w:rsidP="00687597">
      <w:pPr>
        <w:rPr>
          <w:rFonts w:ascii="Arial" w:eastAsia="Times New Roman" w:hAnsi="Arial" w:cs="Arial"/>
          <w:sz w:val="20"/>
          <w:szCs w:val="20"/>
          <w:lang w:val="it-IT"/>
        </w:rPr>
      </w:pPr>
    </w:p>
    <w:p w14:paraId="1029B4BB" w14:textId="339A1651" w:rsidR="00687597" w:rsidRPr="00687597" w:rsidRDefault="00687597" w:rsidP="00687597">
      <w:pPr>
        <w:tabs>
          <w:tab w:val="left" w:pos="1275"/>
        </w:tabs>
        <w:rPr>
          <w:rFonts w:ascii="Arial" w:eastAsia="Arial" w:hAnsi="Arial" w:cs="Arial"/>
          <w:sz w:val="24"/>
          <w:szCs w:val="24"/>
        </w:rPr>
      </w:pPr>
    </w:p>
    <w:sectPr w:rsidR="00687597" w:rsidRPr="00687597" w:rsidSect="0083010A">
      <w:headerReference w:type="even" r:id="rId13"/>
      <w:headerReference w:type="default" r:id="rId14"/>
      <w:footerReference w:type="even" r:id="rId15"/>
      <w:footerReference w:type="default" r:id="rId16"/>
      <w:headerReference w:type="first" r:id="rId17"/>
      <w:footerReference w:type="first" r:id="rId18"/>
      <w:pgSz w:w="11906" w:h="16838"/>
      <w:pgMar w:top="3119" w:right="991" w:bottom="3544" w:left="1134" w:header="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F8164" w14:textId="77777777" w:rsidR="001823E4" w:rsidRDefault="001823E4">
      <w:r>
        <w:separator/>
      </w:r>
    </w:p>
  </w:endnote>
  <w:endnote w:type="continuationSeparator" w:id="0">
    <w:p w14:paraId="07506C62" w14:textId="77777777" w:rsidR="001823E4" w:rsidRDefault="00182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igtree">
    <w:charset w:val="00"/>
    <w:family w:val="auto"/>
    <w:pitch w:val="variable"/>
    <w:sig w:usb0="A000006F" w:usb1="0000007B" w:usb2="00000000" w:usb3="00000000" w:csb0="00000093"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8570A8EA-C55A-4EED-944E-834A0A6E33B8}"/>
  </w:font>
  <w:font w:name="Cambria Math">
    <w:panose1 w:val="02040503050406030204"/>
    <w:charset w:val="00"/>
    <w:family w:val="roman"/>
    <w:pitch w:val="variable"/>
    <w:sig w:usb0="E00006FF" w:usb1="420024FF" w:usb2="02000000" w:usb3="00000000" w:csb0="0000019F" w:csb1="00000000"/>
    <w:embedBold r:id="rId2" w:fontKey="{1BEB0700-5AE1-4EE2-BCDF-23F62C7DF57E}"/>
    <w:embedBoldItalic r:id="rId3" w:fontKey="{6342EB58-BED0-427D-B3F2-6B22E16287DF}"/>
  </w:font>
  <w:font w:name="Calibri">
    <w:panose1 w:val="020F0502020204030204"/>
    <w:charset w:val="00"/>
    <w:family w:val="swiss"/>
    <w:pitch w:val="variable"/>
    <w:sig w:usb0="E4002EFF" w:usb1="C200247B" w:usb2="00000009" w:usb3="00000000" w:csb0="000001FF" w:csb1="00000000"/>
    <w:embedRegular r:id="rId4" w:fontKey="{DEDC6EC0-40A8-42AB-8DE0-E4F897F48BA3}"/>
  </w:font>
  <w:font w:name="Cambria">
    <w:panose1 w:val="02040503050406030204"/>
    <w:charset w:val="00"/>
    <w:family w:val="roman"/>
    <w:pitch w:val="variable"/>
    <w:sig w:usb0="E00006FF" w:usb1="420024FF" w:usb2="02000000" w:usb3="00000000" w:csb0="0000019F" w:csb1="00000000"/>
    <w:embedRegular r:id="rId5" w:fontKey="{1C5DE689-0CC5-40AE-B4C0-DBB218A06AA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7" w14:textId="77777777" w:rsidR="00E718BA" w:rsidRDefault="00E718BA">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8" w14:textId="77777777" w:rsidR="00E718BA" w:rsidRDefault="00167B69">
    <w:pPr>
      <w:pBdr>
        <w:top w:val="nil"/>
        <w:left w:val="nil"/>
        <w:bottom w:val="nil"/>
        <w:right w:val="nil"/>
        <w:between w:val="nil"/>
      </w:pBdr>
      <w:tabs>
        <w:tab w:val="center" w:pos="4819"/>
        <w:tab w:val="right" w:pos="9638"/>
      </w:tabs>
      <w:rPr>
        <w:rFonts w:ascii="Arial" w:eastAsia="Arial" w:hAnsi="Arial" w:cs="Arial"/>
        <w:color w:val="000000"/>
      </w:rPr>
    </w:pPr>
    <w:r>
      <w:rPr>
        <w:noProof/>
      </w:rPr>
      <mc:AlternateContent>
        <mc:Choice Requires="wps">
          <w:drawing>
            <wp:anchor distT="0" distB="0" distL="114300" distR="114300" simplePos="0" relativeHeight="251658242" behindDoc="0" locked="0" layoutInCell="1" hidden="0" allowOverlap="1" wp14:anchorId="0E1969F5" wp14:editId="000287D7">
              <wp:simplePos x="0" y="0"/>
              <wp:positionH relativeFrom="column">
                <wp:posOffset>-951</wp:posOffset>
              </wp:positionH>
              <wp:positionV relativeFrom="paragraph">
                <wp:posOffset>9830753</wp:posOffset>
              </wp:positionV>
              <wp:extent cx="7569200" cy="890270"/>
              <wp:effectExtent l="0" t="0" r="0" b="0"/>
              <wp:wrapNone/>
              <wp:docPr id="4" name="Figura a mano libera 4"/>
              <wp:cNvGraphicFramePr/>
              <a:graphic xmlns:a="http://schemas.openxmlformats.org/drawingml/2006/main">
                <a:graphicData uri="http://schemas.microsoft.com/office/word/2010/wordprocessingShape">
                  <wps:wsp>
                    <wps:cNvSpPr/>
                    <wps:spPr>
                      <a:xfrm rot="-5400000">
                        <a:off x="4905628" y="163"/>
                        <a:ext cx="880745" cy="7559675"/>
                      </a:xfrm>
                      <a:custGeom>
                        <a:avLst/>
                        <a:gdLst/>
                        <a:ahLst/>
                        <a:cxnLst/>
                        <a:rect l="l" t="t" r="r" b="b"/>
                        <a:pathLst>
                          <a:path w="828206" h="7071998" extrusionOk="0">
                            <a:moveTo>
                              <a:pt x="0" y="0"/>
                            </a:moveTo>
                            <a:lnTo>
                              <a:pt x="452041" y="4455"/>
                            </a:lnTo>
                            <a:cubicBezTo>
                              <a:pt x="689659" y="1038146"/>
                              <a:pt x="822750" y="2358074"/>
                              <a:pt x="828040" y="3535998"/>
                            </a:cubicBezTo>
                            <a:cubicBezTo>
                              <a:pt x="833330" y="4713922"/>
                              <a:pt x="712458" y="6243361"/>
                              <a:pt x="483780" y="7071998"/>
                            </a:cubicBezTo>
                            <a:lnTo>
                              <a:pt x="0" y="7071995"/>
                            </a:lnTo>
                            <a:lnTo>
                              <a:pt x="0" y="0"/>
                            </a:lnTo>
                            <a:close/>
                          </a:path>
                        </a:pathLst>
                      </a:custGeom>
                      <a:solidFill>
                        <a:srgbClr val="97C00E"/>
                      </a:solidFill>
                      <a:ln>
                        <a:noFill/>
                      </a:ln>
                    </wps:spPr>
                    <wps:txbx>
                      <w:txbxContent>
                        <w:p w14:paraId="6624BF89" w14:textId="77777777" w:rsidR="00E718BA" w:rsidRDefault="00E718BA">
                          <w:pPr>
                            <w:textDirection w:val="btLr"/>
                          </w:pPr>
                        </w:p>
                      </w:txbxContent>
                    </wps:txbx>
                    <wps:bodyPr spcFirstLastPara="1" wrap="square" lIns="91425" tIns="91425" rIns="91425" bIns="91425" anchor="ctr" anchorCtr="0">
                      <a:noAutofit/>
                    </wps:bodyPr>
                  </wps:wsp>
                </a:graphicData>
              </a:graphic>
            </wp:anchor>
          </w:drawing>
        </mc:Choice>
        <mc:Fallback xmlns:arto="http://schemas.microsoft.com/office/word/2006/arto">
          <w:pict>
            <v:shape w14:anchorId="0E1969F5" id="Figura a mano libera 4" o:spid="_x0000_s1026" style="position:absolute;margin-left:-.05pt;margin-top:774.1pt;width:596pt;height:70.1pt;rotation:-90;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828206,7071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" adj="-11796480,,5400" path="m,l452041,4455c689659,1038146,822750,2358074,828040,3535998,833330,4713922,712458,6243361,483780,7071998l,7071995,,xe" fillcolor="#97c00e" stroked="f">
              <v:stroke joinstyle="miter"/>
              <v:formulas/>
              <v:path arrowok="t" o:extrusionok="f" o:connecttype="custom" textboxrect="0,0,828206,7071998"/>
              <v:textbox inset="2.53958mm,2.53958mm,2.53958mm,2.53958mm">
                <w:txbxContent>
                  <w:p w14:paraId="6624BF89" w14:textId="77777777" w:rsidR="00E718BA" w:rsidRDefault="00E718BA">
                    <w:pPr>
                      <w:textDirection w:val="btLr"/>
                    </w:pPr>
                  </w:p>
                </w:txbxContent>
              </v:textbox>
            </v:shape>
          </w:pict>
        </mc:Fallback>
      </mc:AlternateContent>
    </w:r>
    <w:r>
      <w:rPr>
        <w:noProof/>
      </w:rPr>
      <mc:AlternateContent>
        <mc:Choice Requires="wps">
          <w:drawing>
            <wp:anchor distT="0" distB="0" distL="114300" distR="114300" simplePos="0" relativeHeight="251658243" behindDoc="0" locked="0" layoutInCell="1" hidden="0" allowOverlap="1" wp14:anchorId="7C22008B" wp14:editId="3F7BD29A">
              <wp:simplePos x="0" y="0"/>
              <wp:positionH relativeFrom="column">
                <wp:posOffset>-951</wp:posOffset>
              </wp:positionH>
              <wp:positionV relativeFrom="paragraph">
                <wp:posOffset>9830753</wp:posOffset>
              </wp:positionV>
              <wp:extent cx="7569200" cy="890270"/>
              <wp:effectExtent l="0" t="0" r="0" b="0"/>
              <wp:wrapNone/>
              <wp:docPr id="2" name="Figura a mano libera 2"/>
              <wp:cNvGraphicFramePr/>
              <a:graphic xmlns:a="http://schemas.openxmlformats.org/drawingml/2006/main">
                <a:graphicData uri="http://schemas.microsoft.com/office/word/2010/wordprocessingShape">
                  <wps:wsp>
                    <wps:cNvSpPr/>
                    <wps:spPr>
                      <a:xfrm rot="-5400000">
                        <a:off x="4905628" y="163"/>
                        <a:ext cx="880745" cy="7559675"/>
                      </a:xfrm>
                      <a:custGeom>
                        <a:avLst/>
                        <a:gdLst/>
                        <a:ahLst/>
                        <a:cxnLst/>
                        <a:rect l="l" t="t" r="r" b="b"/>
                        <a:pathLst>
                          <a:path w="828206" h="7071998" extrusionOk="0">
                            <a:moveTo>
                              <a:pt x="0" y="0"/>
                            </a:moveTo>
                            <a:lnTo>
                              <a:pt x="452041" y="4455"/>
                            </a:lnTo>
                            <a:cubicBezTo>
                              <a:pt x="689659" y="1038146"/>
                              <a:pt x="822750" y="2358074"/>
                              <a:pt x="828040" y="3535998"/>
                            </a:cubicBezTo>
                            <a:cubicBezTo>
                              <a:pt x="833330" y="4713922"/>
                              <a:pt x="712458" y="6243361"/>
                              <a:pt x="483780" y="7071998"/>
                            </a:cubicBezTo>
                            <a:lnTo>
                              <a:pt x="0" y="7071995"/>
                            </a:lnTo>
                            <a:lnTo>
                              <a:pt x="0" y="0"/>
                            </a:lnTo>
                            <a:close/>
                          </a:path>
                        </a:pathLst>
                      </a:custGeom>
                      <a:solidFill>
                        <a:srgbClr val="97C00E"/>
                      </a:solidFill>
                      <a:ln>
                        <a:noFill/>
                      </a:ln>
                    </wps:spPr>
                    <wps:txbx>
                      <w:txbxContent>
                        <w:p w14:paraId="4DE48956" w14:textId="77777777" w:rsidR="00E718BA" w:rsidRDefault="00E718BA">
                          <w:pPr>
                            <w:textDirection w:val="btLr"/>
                          </w:pPr>
                        </w:p>
                      </w:txbxContent>
                    </wps:txbx>
                    <wps:bodyPr spcFirstLastPara="1" wrap="square" lIns="91425" tIns="91425" rIns="91425" bIns="91425" anchor="ctr" anchorCtr="0">
                      <a:noAutofit/>
                    </wps:bodyPr>
                  </wps:wsp>
                </a:graphicData>
              </a:graphic>
            </wp:anchor>
          </w:drawing>
        </mc:Choice>
        <mc:Fallback xmlns:arto="http://schemas.microsoft.com/office/word/2006/arto">
          <w:pict>
            <v:shape w14:anchorId="7C22008B" id="Figura a mano libera 2" o:spid="_x0000_s1027" style="position:absolute;margin-left:-.05pt;margin-top:774.1pt;width:596pt;height:70.1pt;rotation:-90;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828206,7071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" adj="-11796480,,5400" path="m,l452041,4455c689659,1038146,822750,2358074,828040,3535998,833330,4713922,712458,6243361,483780,7071998l,7071995,,xe" fillcolor="#97c00e" stroked="f">
              <v:stroke joinstyle="miter"/>
              <v:formulas/>
              <v:path arrowok="t" o:extrusionok="f" o:connecttype="custom" textboxrect="0,0,828206,7071998"/>
              <v:textbox inset="2.53958mm,2.53958mm,2.53958mm,2.53958mm">
                <w:txbxContent>
                  <w:p w14:paraId="4DE48956" w14:textId="77777777" w:rsidR="00E718BA" w:rsidRDefault="00E718BA">
                    <w:pPr>
                      <w:textDirection w:val="btLr"/>
                    </w:pPr>
                  </w:p>
                </w:txbxContent>
              </v:textbox>
            </v:shape>
          </w:pict>
        </mc:Fallback>
      </mc:AlternateContent>
    </w:r>
    <w:r>
      <w:rPr>
        <w:noProof/>
      </w:rPr>
      <mc:AlternateContent>
        <mc:Choice Requires="wps">
          <w:drawing>
            <wp:anchor distT="0" distB="0" distL="114300" distR="114300" simplePos="0" relativeHeight="251658244" behindDoc="0" locked="0" layoutInCell="1" hidden="0" allowOverlap="1" wp14:anchorId="0C4B3A2F" wp14:editId="3D03E78E">
              <wp:simplePos x="0" y="0"/>
              <wp:positionH relativeFrom="column">
                <wp:posOffset>-951</wp:posOffset>
              </wp:positionH>
              <wp:positionV relativeFrom="paragraph">
                <wp:posOffset>9830753</wp:posOffset>
              </wp:positionV>
              <wp:extent cx="7569200" cy="890270"/>
              <wp:effectExtent l="0" t="0" r="0" b="0"/>
              <wp:wrapNone/>
              <wp:docPr id="1" name="Figura a mano libera 1"/>
              <wp:cNvGraphicFramePr/>
              <a:graphic xmlns:a="http://schemas.openxmlformats.org/drawingml/2006/main">
                <a:graphicData uri="http://schemas.microsoft.com/office/word/2010/wordprocessingShape">
                  <wps:wsp>
                    <wps:cNvSpPr/>
                    <wps:spPr>
                      <a:xfrm rot="-5400000">
                        <a:off x="4905628" y="163"/>
                        <a:ext cx="880745" cy="7559675"/>
                      </a:xfrm>
                      <a:custGeom>
                        <a:avLst/>
                        <a:gdLst/>
                        <a:ahLst/>
                        <a:cxnLst/>
                        <a:rect l="l" t="t" r="r" b="b"/>
                        <a:pathLst>
                          <a:path w="828206" h="7071998" extrusionOk="0">
                            <a:moveTo>
                              <a:pt x="0" y="0"/>
                            </a:moveTo>
                            <a:lnTo>
                              <a:pt x="452041" y="4455"/>
                            </a:lnTo>
                            <a:cubicBezTo>
                              <a:pt x="689659" y="1038146"/>
                              <a:pt x="822750" y="2358074"/>
                              <a:pt x="828040" y="3535998"/>
                            </a:cubicBezTo>
                            <a:cubicBezTo>
                              <a:pt x="833330" y="4713922"/>
                              <a:pt x="712458" y="6243361"/>
                              <a:pt x="483780" y="7071998"/>
                            </a:cubicBezTo>
                            <a:lnTo>
                              <a:pt x="0" y="7071995"/>
                            </a:lnTo>
                            <a:lnTo>
                              <a:pt x="0" y="0"/>
                            </a:lnTo>
                            <a:close/>
                          </a:path>
                        </a:pathLst>
                      </a:custGeom>
                      <a:solidFill>
                        <a:srgbClr val="97C00E"/>
                      </a:solidFill>
                      <a:ln>
                        <a:noFill/>
                      </a:ln>
                    </wps:spPr>
                    <wps:txbx>
                      <w:txbxContent>
                        <w:p w14:paraId="51D2BD29" w14:textId="77777777" w:rsidR="00E718BA" w:rsidRDefault="00E718BA">
                          <w:pPr>
                            <w:textDirection w:val="btLr"/>
                          </w:pPr>
                        </w:p>
                      </w:txbxContent>
                    </wps:txbx>
                    <wps:bodyPr spcFirstLastPara="1" wrap="square" lIns="91425" tIns="91425" rIns="91425" bIns="91425" anchor="ctr" anchorCtr="0">
                      <a:noAutofit/>
                    </wps:bodyPr>
                  </wps:wsp>
                </a:graphicData>
              </a:graphic>
            </wp:anchor>
          </w:drawing>
        </mc:Choice>
        <mc:Fallback xmlns:arto="http://schemas.microsoft.com/office/word/2006/arto">
          <w:pict>
            <v:shape w14:anchorId="0C4B3A2F" id="Figura a mano libera 1" o:spid="_x0000_s1028" style="position:absolute;margin-left:-.05pt;margin-top:774.1pt;width:596pt;height:70.1pt;rotation:-90;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828206,7071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" adj="-11796480,,5400" path="m,l452041,4455c689659,1038146,822750,2358074,828040,3535998,833330,4713922,712458,6243361,483780,7071998l,7071995,,xe" fillcolor="#97c00e" stroked="f">
              <v:stroke joinstyle="miter"/>
              <v:formulas/>
              <v:path arrowok="t" o:extrusionok="f" o:connecttype="custom" textboxrect="0,0,828206,7071998"/>
              <v:textbox inset="2.53958mm,2.53958mm,2.53958mm,2.53958mm">
                <w:txbxContent>
                  <w:p w14:paraId="51D2BD29" w14:textId="77777777" w:rsidR="00E718BA" w:rsidRDefault="00E718BA">
                    <w:pPr>
                      <w:textDirection w:val="btLr"/>
                    </w:pPr>
                  </w:p>
                </w:txbxContent>
              </v:textbox>
            </v:shape>
          </w:pict>
        </mc:Fallback>
      </mc:AlternateContent>
    </w:r>
  </w:p>
  <w:p w14:paraId="00000029" w14:textId="77777777" w:rsidR="00E718BA" w:rsidRDefault="00E718BA">
    <w:pPr>
      <w:pBdr>
        <w:top w:val="nil"/>
        <w:left w:val="nil"/>
        <w:bottom w:val="nil"/>
        <w:right w:val="nil"/>
        <w:between w:val="nil"/>
      </w:pBdr>
      <w:tabs>
        <w:tab w:val="center" w:pos="4819"/>
        <w:tab w:val="right" w:pos="9638"/>
      </w:tabs>
      <w:rPr>
        <w:rFonts w:ascii="Arial" w:eastAsia="Arial" w:hAnsi="Arial" w:cs="Arial"/>
        <w:color w:val="000000"/>
      </w:rPr>
    </w:pPr>
  </w:p>
  <w:p w14:paraId="0000002A" w14:textId="77777777" w:rsidR="00E718BA" w:rsidRDefault="00167B69">
    <w:pPr>
      <w:pBdr>
        <w:top w:val="nil"/>
        <w:left w:val="nil"/>
        <w:bottom w:val="nil"/>
        <w:right w:val="nil"/>
        <w:between w:val="nil"/>
      </w:pBdr>
      <w:tabs>
        <w:tab w:val="center" w:pos="4819"/>
        <w:tab w:val="right" w:pos="9638"/>
      </w:tabs>
      <w:rPr>
        <w:color w:val="000000"/>
      </w:rPr>
    </w:pPr>
    <w:r>
      <w:rPr>
        <w:noProof/>
      </w:rPr>
      <mc:AlternateContent>
        <mc:Choice Requires="wps">
          <w:drawing>
            <wp:anchor distT="0" distB="0" distL="114300" distR="114300" simplePos="0" relativeHeight="251658245" behindDoc="0" locked="0" layoutInCell="1" hidden="0" allowOverlap="1" wp14:anchorId="59D6FB31" wp14:editId="276F6104">
              <wp:simplePos x="0" y="0"/>
              <wp:positionH relativeFrom="column">
                <wp:posOffset>-951</wp:posOffset>
              </wp:positionH>
              <wp:positionV relativeFrom="paragraph">
                <wp:posOffset>7789863</wp:posOffset>
              </wp:positionV>
              <wp:extent cx="7569200" cy="890270"/>
              <wp:effectExtent l="0" t="0" r="0" b="0"/>
              <wp:wrapNone/>
              <wp:docPr id="3" name="Figura a mano libera 3"/>
              <wp:cNvGraphicFramePr/>
              <a:graphic xmlns:a="http://schemas.openxmlformats.org/drawingml/2006/main">
                <a:graphicData uri="http://schemas.microsoft.com/office/word/2010/wordprocessingShape">
                  <wps:wsp>
                    <wps:cNvSpPr/>
                    <wps:spPr>
                      <a:xfrm rot="-5400000">
                        <a:off x="4905628" y="163"/>
                        <a:ext cx="880745" cy="7559675"/>
                      </a:xfrm>
                      <a:custGeom>
                        <a:avLst/>
                        <a:gdLst/>
                        <a:ahLst/>
                        <a:cxnLst/>
                        <a:rect l="l" t="t" r="r" b="b"/>
                        <a:pathLst>
                          <a:path w="828206" h="7071998" extrusionOk="0">
                            <a:moveTo>
                              <a:pt x="0" y="0"/>
                            </a:moveTo>
                            <a:lnTo>
                              <a:pt x="452041" y="4455"/>
                            </a:lnTo>
                            <a:cubicBezTo>
                              <a:pt x="689659" y="1038146"/>
                              <a:pt x="822750" y="2358074"/>
                              <a:pt x="828040" y="3535998"/>
                            </a:cubicBezTo>
                            <a:cubicBezTo>
                              <a:pt x="833330" y="4713922"/>
                              <a:pt x="712458" y="6243361"/>
                              <a:pt x="483780" y="7071998"/>
                            </a:cubicBezTo>
                            <a:lnTo>
                              <a:pt x="0" y="7071995"/>
                            </a:lnTo>
                            <a:lnTo>
                              <a:pt x="0" y="0"/>
                            </a:lnTo>
                            <a:close/>
                          </a:path>
                        </a:pathLst>
                      </a:custGeom>
                      <a:solidFill>
                        <a:srgbClr val="97C00E"/>
                      </a:solidFill>
                      <a:ln>
                        <a:noFill/>
                      </a:ln>
                    </wps:spPr>
                    <wps:txbx>
                      <w:txbxContent>
                        <w:p w14:paraId="4857AE6B" w14:textId="77777777" w:rsidR="00E718BA" w:rsidRDefault="00E718BA">
                          <w:pPr>
                            <w:textDirection w:val="btLr"/>
                          </w:pPr>
                        </w:p>
                      </w:txbxContent>
                    </wps:txbx>
                    <wps:bodyPr spcFirstLastPara="1" wrap="square" lIns="91425" tIns="91425" rIns="91425" bIns="91425" anchor="ctr" anchorCtr="0">
                      <a:noAutofit/>
                    </wps:bodyPr>
                  </wps:wsp>
                </a:graphicData>
              </a:graphic>
            </wp:anchor>
          </w:drawing>
        </mc:Choice>
        <mc:Fallback xmlns:arto="http://schemas.microsoft.com/office/word/2006/arto">
          <w:pict>
            <v:shape w14:anchorId="59D6FB31" id="Figura a mano libera 3" o:spid="_x0000_s1029" style="position:absolute;margin-left:-.05pt;margin-top:613.4pt;width:596pt;height:70.1pt;rotation:-90;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828206,7071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" adj="-11796480,,5400" path="m,l452041,4455c689659,1038146,822750,2358074,828040,3535998,833330,4713922,712458,6243361,483780,7071998l,7071995,,xe" fillcolor="#97c00e" stroked="f">
              <v:stroke joinstyle="miter"/>
              <v:formulas/>
              <v:path arrowok="t" o:extrusionok="f" o:connecttype="custom" textboxrect="0,0,828206,7071998"/>
              <v:textbox inset="2.53958mm,2.53958mm,2.53958mm,2.53958mm">
                <w:txbxContent>
                  <w:p w14:paraId="4857AE6B" w14:textId="77777777" w:rsidR="00E718BA" w:rsidRDefault="00E718BA">
                    <w:pPr>
                      <w:textDirection w:val="btLr"/>
                    </w:pPr>
                  </w:p>
                </w:txbxContent>
              </v:textbox>
            </v:shape>
          </w:pict>
        </mc:Fallback>
      </mc:AlternateContent>
    </w:r>
  </w:p>
  <w:p w14:paraId="0000002B" w14:textId="77777777" w:rsidR="00E718BA" w:rsidRDefault="00E718BA">
    <w:pPr>
      <w:pBdr>
        <w:top w:val="nil"/>
        <w:left w:val="nil"/>
        <w:bottom w:val="nil"/>
        <w:right w:val="nil"/>
        <w:between w:val="nil"/>
      </w:pBdr>
      <w:tabs>
        <w:tab w:val="center" w:pos="4819"/>
        <w:tab w:val="right" w:pos="9638"/>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C" w14:textId="77777777" w:rsidR="00E718BA" w:rsidRDefault="00E718BA">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C982F" w14:textId="77777777" w:rsidR="001823E4" w:rsidRDefault="001823E4">
      <w:r>
        <w:separator/>
      </w:r>
    </w:p>
  </w:footnote>
  <w:footnote w:type="continuationSeparator" w:id="0">
    <w:p w14:paraId="10EE89F8" w14:textId="77777777" w:rsidR="001823E4" w:rsidRDefault="001823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1" w14:textId="77777777" w:rsidR="00E718BA" w:rsidRDefault="00E718BA">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2" w14:textId="77777777" w:rsidR="00E718BA" w:rsidRDefault="00167B69">
    <w:pPr>
      <w:pBdr>
        <w:top w:val="nil"/>
        <w:left w:val="nil"/>
        <w:bottom w:val="nil"/>
        <w:right w:val="nil"/>
        <w:between w:val="nil"/>
      </w:pBdr>
      <w:tabs>
        <w:tab w:val="center" w:pos="4819"/>
        <w:tab w:val="right" w:pos="9638"/>
      </w:tabs>
      <w:ind w:left="-1134"/>
      <w:rPr>
        <w:rFonts w:ascii="Arial" w:eastAsia="Arial" w:hAnsi="Arial" w:cs="Arial"/>
        <w:color w:val="000000"/>
      </w:rPr>
    </w:pPr>
    <w:r>
      <w:rPr>
        <w:noProof/>
      </w:rPr>
      <w:drawing>
        <wp:anchor distT="0" distB="0" distL="0" distR="0" simplePos="0" relativeHeight="251658240" behindDoc="1" locked="0" layoutInCell="1" hidden="0" allowOverlap="1" wp14:anchorId="20FF37EF" wp14:editId="7A118B49">
          <wp:simplePos x="0" y="0"/>
          <wp:positionH relativeFrom="column">
            <wp:posOffset>-720089</wp:posOffset>
          </wp:positionH>
          <wp:positionV relativeFrom="paragraph">
            <wp:posOffset>2709</wp:posOffset>
          </wp:positionV>
          <wp:extent cx="7532914" cy="10655428"/>
          <wp:effectExtent l="0" t="0" r="0" b="0"/>
          <wp:wrapNone/>
          <wp:docPr id="79232515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7532914" cy="10655428"/>
                  </a:xfrm>
                  <a:prstGeom prst="rect">
                    <a:avLst/>
                  </a:prstGeom>
                  <a:ln/>
                </pic:spPr>
              </pic:pic>
            </a:graphicData>
          </a:graphic>
        </wp:anchor>
      </w:drawing>
    </w:r>
  </w:p>
  <w:p w14:paraId="00000023" w14:textId="77777777" w:rsidR="00E718BA" w:rsidRDefault="00E718BA">
    <w:pPr>
      <w:pBdr>
        <w:top w:val="nil"/>
        <w:left w:val="nil"/>
        <w:bottom w:val="nil"/>
        <w:right w:val="nil"/>
        <w:between w:val="nil"/>
      </w:pBdr>
      <w:tabs>
        <w:tab w:val="center" w:pos="4819"/>
        <w:tab w:val="right" w:pos="9638"/>
      </w:tabs>
      <w:jc w:val="center"/>
      <w:rPr>
        <w:rFonts w:ascii="Arial" w:eastAsia="Arial" w:hAnsi="Arial" w:cs="Arial"/>
        <w:color w:val="000000"/>
      </w:rPr>
    </w:pPr>
  </w:p>
  <w:p w14:paraId="00000024" w14:textId="77777777" w:rsidR="00E718BA" w:rsidRDefault="00E718BA">
    <w:pPr>
      <w:pBdr>
        <w:top w:val="nil"/>
        <w:left w:val="nil"/>
        <w:bottom w:val="nil"/>
        <w:right w:val="nil"/>
        <w:between w:val="nil"/>
      </w:pBdr>
      <w:tabs>
        <w:tab w:val="center" w:pos="4819"/>
        <w:tab w:val="right" w:pos="9638"/>
      </w:tabs>
      <w:rPr>
        <w:rFonts w:ascii="Arial" w:eastAsia="Arial" w:hAnsi="Arial" w:cs="Arial"/>
        <w:color w:val="000000"/>
      </w:rPr>
    </w:pPr>
  </w:p>
  <w:p w14:paraId="00000025" w14:textId="77777777" w:rsidR="00E718BA" w:rsidRDefault="00E718BA">
    <w:pPr>
      <w:pBdr>
        <w:top w:val="nil"/>
        <w:left w:val="nil"/>
        <w:bottom w:val="nil"/>
        <w:right w:val="nil"/>
        <w:between w:val="nil"/>
      </w:pBdr>
      <w:tabs>
        <w:tab w:val="center" w:pos="4819"/>
        <w:tab w:val="right" w:pos="9638"/>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6" w14:textId="77777777" w:rsidR="00E718BA" w:rsidRDefault="00167B69">
    <w:pPr>
      <w:pBdr>
        <w:top w:val="nil"/>
        <w:left w:val="nil"/>
        <w:bottom w:val="nil"/>
        <w:right w:val="nil"/>
        <w:between w:val="nil"/>
      </w:pBdr>
      <w:tabs>
        <w:tab w:val="center" w:pos="4819"/>
        <w:tab w:val="right" w:pos="9638"/>
      </w:tabs>
      <w:ind w:left="-1134"/>
      <w:rPr>
        <w:color w:val="000000"/>
      </w:rPr>
    </w:pPr>
    <w:r>
      <w:rPr>
        <w:noProof/>
      </w:rPr>
      <w:drawing>
        <wp:anchor distT="0" distB="0" distL="0" distR="0" simplePos="0" relativeHeight="251658241" behindDoc="1" locked="0" layoutInCell="1" hidden="0" allowOverlap="1" wp14:anchorId="76E9A49A" wp14:editId="36905688">
          <wp:simplePos x="0" y="0"/>
          <wp:positionH relativeFrom="column">
            <wp:posOffset>-685336</wp:posOffset>
          </wp:positionH>
          <wp:positionV relativeFrom="paragraph">
            <wp:posOffset>1905</wp:posOffset>
          </wp:positionV>
          <wp:extent cx="7538551" cy="10663401"/>
          <wp:effectExtent l="0" t="0" r="0" b="0"/>
          <wp:wrapNone/>
          <wp:docPr id="182758440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7538551" cy="10663401"/>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8BA"/>
    <w:rsid w:val="00062485"/>
    <w:rsid w:val="00063582"/>
    <w:rsid w:val="000B29EA"/>
    <w:rsid w:val="000C5988"/>
    <w:rsid w:val="000D7093"/>
    <w:rsid w:val="000F6394"/>
    <w:rsid w:val="001108E9"/>
    <w:rsid w:val="00165404"/>
    <w:rsid w:val="00167B69"/>
    <w:rsid w:val="001823E4"/>
    <w:rsid w:val="00191063"/>
    <w:rsid w:val="001B4E04"/>
    <w:rsid w:val="001E15B6"/>
    <w:rsid w:val="001F133D"/>
    <w:rsid w:val="00214DD2"/>
    <w:rsid w:val="002474C8"/>
    <w:rsid w:val="00247647"/>
    <w:rsid w:val="00280446"/>
    <w:rsid w:val="002904F6"/>
    <w:rsid w:val="002A613E"/>
    <w:rsid w:val="002B3F81"/>
    <w:rsid w:val="002D425B"/>
    <w:rsid w:val="003164A8"/>
    <w:rsid w:val="00375A2A"/>
    <w:rsid w:val="00390B6B"/>
    <w:rsid w:val="003B5B15"/>
    <w:rsid w:val="003B610E"/>
    <w:rsid w:val="003B6C41"/>
    <w:rsid w:val="003E486A"/>
    <w:rsid w:val="00422BC4"/>
    <w:rsid w:val="00430FF7"/>
    <w:rsid w:val="0043454D"/>
    <w:rsid w:val="004371ED"/>
    <w:rsid w:val="00445D32"/>
    <w:rsid w:val="0045253C"/>
    <w:rsid w:val="00467C65"/>
    <w:rsid w:val="004A14EE"/>
    <w:rsid w:val="004B5275"/>
    <w:rsid w:val="004E6A7E"/>
    <w:rsid w:val="00515C23"/>
    <w:rsid w:val="00522647"/>
    <w:rsid w:val="00586D7C"/>
    <w:rsid w:val="005969F2"/>
    <w:rsid w:val="006049DD"/>
    <w:rsid w:val="00620370"/>
    <w:rsid w:val="006302E7"/>
    <w:rsid w:val="006319D0"/>
    <w:rsid w:val="0065473D"/>
    <w:rsid w:val="00681BB3"/>
    <w:rsid w:val="00687597"/>
    <w:rsid w:val="006A7C44"/>
    <w:rsid w:val="006B1ECF"/>
    <w:rsid w:val="006B41D6"/>
    <w:rsid w:val="006B46D8"/>
    <w:rsid w:val="006F01F9"/>
    <w:rsid w:val="00706A7A"/>
    <w:rsid w:val="007250F3"/>
    <w:rsid w:val="00751DEB"/>
    <w:rsid w:val="00763A1B"/>
    <w:rsid w:val="00791D25"/>
    <w:rsid w:val="007E7526"/>
    <w:rsid w:val="007E7AD5"/>
    <w:rsid w:val="0081118C"/>
    <w:rsid w:val="008235F6"/>
    <w:rsid w:val="0083010A"/>
    <w:rsid w:val="008533F5"/>
    <w:rsid w:val="0085476B"/>
    <w:rsid w:val="008558C7"/>
    <w:rsid w:val="00876BB6"/>
    <w:rsid w:val="00890DB7"/>
    <w:rsid w:val="008C2975"/>
    <w:rsid w:val="008D499C"/>
    <w:rsid w:val="008E58DC"/>
    <w:rsid w:val="0090307B"/>
    <w:rsid w:val="009233FE"/>
    <w:rsid w:val="009257CA"/>
    <w:rsid w:val="009314EE"/>
    <w:rsid w:val="00943BB0"/>
    <w:rsid w:val="00963004"/>
    <w:rsid w:val="009D1DA1"/>
    <w:rsid w:val="009E1E82"/>
    <w:rsid w:val="009E2526"/>
    <w:rsid w:val="009F5377"/>
    <w:rsid w:val="00A01A75"/>
    <w:rsid w:val="00A30CC2"/>
    <w:rsid w:val="00A376A8"/>
    <w:rsid w:val="00A508DC"/>
    <w:rsid w:val="00A93FDB"/>
    <w:rsid w:val="00AA0CAB"/>
    <w:rsid w:val="00AA7CBA"/>
    <w:rsid w:val="00AB162D"/>
    <w:rsid w:val="00AC1E41"/>
    <w:rsid w:val="00AC556E"/>
    <w:rsid w:val="00AF613C"/>
    <w:rsid w:val="00AF6984"/>
    <w:rsid w:val="00B0765F"/>
    <w:rsid w:val="00B14CD2"/>
    <w:rsid w:val="00B51C11"/>
    <w:rsid w:val="00B664EF"/>
    <w:rsid w:val="00BF0E47"/>
    <w:rsid w:val="00C15A1B"/>
    <w:rsid w:val="00C60B4C"/>
    <w:rsid w:val="00C70B20"/>
    <w:rsid w:val="00C80471"/>
    <w:rsid w:val="00CA5D36"/>
    <w:rsid w:val="00CA5DE2"/>
    <w:rsid w:val="00CC5912"/>
    <w:rsid w:val="00CD29EE"/>
    <w:rsid w:val="00CE45B3"/>
    <w:rsid w:val="00D15C7A"/>
    <w:rsid w:val="00D61A9F"/>
    <w:rsid w:val="00D77256"/>
    <w:rsid w:val="00DA7DCB"/>
    <w:rsid w:val="00DB2474"/>
    <w:rsid w:val="00DE130A"/>
    <w:rsid w:val="00DE5160"/>
    <w:rsid w:val="00DE6044"/>
    <w:rsid w:val="00E035CA"/>
    <w:rsid w:val="00E0508A"/>
    <w:rsid w:val="00E12ED7"/>
    <w:rsid w:val="00E3074D"/>
    <w:rsid w:val="00E44ED9"/>
    <w:rsid w:val="00E66EA4"/>
    <w:rsid w:val="00E718BA"/>
    <w:rsid w:val="00EC49B1"/>
    <w:rsid w:val="00EF1DBF"/>
    <w:rsid w:val="00F21BC7"/>
    <w:rsid w:val="00F342B1"/>
    <w:rsid w:val="00F363C1"/>
    <w:rsid w:val="00F611C6"/>
    <w:rsid w:val="00F74CCD"/>
    <w:rsid w:val="00F859CB"/>
    <w:rsid w:val="00FA4703"/>
    <w:rsid w:val="00FB72E2"/>
    <w:rsid w:val="00FC0C55"/>
    <w:rsid w:val="00FF7A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6ACFC1"/>
  <w15:docId w15:val="{6D5F4C14-01E4-47AD-A237-D31AC2F2A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igtree" w:eastAsia="Figtree" w:hAnsi="Figtree" w:cs="Figtree"/>
        <w:sz w:val="22"/>
        <w:szCs w:val="22"/>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widowControl w:val="0"/>
      <w:outlineLvl w:val="1"/>
    </w:pPr>
    <w:rPr>
      <w:rFonts w:ascii="Arial" w:eastAsia="Arial" w:hAnsi="Arial" w:cs="Arial"/>
      <w:sz w:val="24"/>
      <w:szCs w:val="24"/>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9E2526"/>
    <w:rPr>
      <w:b/>
      <w:bCs/>
    </w:rPr>
  </w:style>
  <w:style w:type="character" w:customStyle="1" w:styleId="CommentSubjectChar">
    <w:name w:val="Comment Subject Char"/>
    <w:basedOn w:val="CommentTextChar"/>
    <w:link w:val="CommentSubject"/>
    <w:uiPriority w:val="99"/>
    <w:semiHidden/>
    <w:rsid w:val="009E2526"/>
    <w:rPr>
      <w:b/>
      <w:bCs/>
      <w:sz w:val="20"/>
      <w:szCs w:val="20"/>
    </w:rPr>
  </w:style>
  <w:style w:type="paragraph" w:styleId="Revision">
    <w:name w:val="Revision"/>
    <w:hidden/>
    <w:uiPriority w:val="99"/>
    <w:semiHidden/>
    <w:rsid w:val="00CE45B3"/>
  </w:style>
  <w:style w:type="paragraph" w:styleId="NormalWeb">
    <w:name w:val="Normal (Web)"/>
    <w:basedOn w:val="Normal"/>
    <w:uiPriority w:val="99"/>
    <w:semiHidden/>
    <w:unhideWhenUsed/>
    <w:rsid w:val="006B41D6"/>
    <w:pPr>
      <w:spacing w:before="100" w:beforeAutospacing="1" w:after="100" w:afterAutospacing="1"/>
    </w:pPr>
    <w:rPr>
      <w:rFonts w:ascii="Times New Roman" w:eastAsia="Times New Roman" w:hAnsi="Times New Roman" w:cs="Times New Roman"/>
      <w:sz w:val="24"/>
      <w:szCs w:val="24"/>
      <w:lang w:val="it-IT"/>
    </w:rPr>
  </w:style>
  <w:style w:type="character" w:styleId="Hyperlink">
    <w:name w:val="Hyperlink"/>
    <w:basedOn w:val="DefaultParagraphFont"/>
    <w:uiPriority w:val="99"/>
    <w:semiHidden/>
    <w:unhideWhenUsed/>
    <w:rsid w:val="00687597"/>
    <w:rPr>
      <w:color w:val="0000FF"/>
      <w:u w:val="single"/>
    </w:rPr>
  </w:style>
  <w:style w:type="paragraph" w:styleId="Header">
    <w:name w:val="header"/>
    <w:basedOn w:val="Normal"/>
    <w:link w:val="HeaderChar"/>
    <w:uiPriority w:val="99"/>
    <w:semiHidden/>
    <w:unhideWhenUsed/>
    <w:rsid w:val="009D1DA1"/>
    <w:pPr>
      <w:tabs>
        <w:tab w:val="center" w:pos="4819"/>
        <w:tab w:val="right" w:pos="9638"/>
      </w:tabs>
    </w:pPr>
  </w:style>
  <w:style w:type="character" w:customStyle="1" w:styleId="HeaderChar">
    <w:name w:val="Header Char"/>
    <w:basedOn w:val="DefaultParagraphFont"/>
    <w:link w:val="Header"/>
    <w:uiPriority w:val="99"/>
    <w:semiHidden/>
    <w:rsid w:val="009D1DA1"/>
  </w:style>
  <w:style w:type="paragraph" w:styleId="Footer">
    <w:name w:val="footer"/>
    <w:basedOn w:val="Normal"/>
    <w:link w:val="FooterChar"/>
    <w:uiPriority w:val="99"/>
    <w:semiHidden/>
    <w:unhideWhenUsed/>
    <w:rsid w:val="009D1DA1"/>
    <w:pPr>
      <w:tabs>
        <w:tab w:val="center" w:pos="4819"/>
        <w:tab w:val="right" w:pos="9638"/>
      </w:tabs>
    </w:pPr>
  </w:style>
  <w:style w:type="character" w:customStyle="1" w:styleId="FooterChar">
    <w:name w:val="Footer Char"/>
    <w:basedOn w:val="DefaultParagraphFont"/>
    <w:link w:val="Footer"/>
    <w:uiPriority w:val="99"/>
    <w:semiHidden/>
    <w:rsid w:val="009D1D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ntina@reputationlab.i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ess@reputationlab.i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xiREuxCQF8Ahokl3WRu6bXnOCw==">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</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5dc946-013e-410e-b0b5-6f37427c3dd2">
      <Terms xmlns="http://schemas.microsoft.com/office/infopath/2007/PartnerControls"/>
    </lcf76f155ced4ddcb4097134ff3c332f>
    <TaxCatchAll xmlns="9606577a-d613-4a79-a5e4-000a64d384a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B0C0998F7C03AC47A137D96F6FD73796" ma:contentTypeVersion="12" ma:contentTypeDescription="Creare un nuovo documento." ma:contentTypeScope="" ma:versionID="73922ffc5b5cf39f15a6d7a0314086d3">
  <xsd:schema xmlns:xsd="http://www.w3.org/2001/XMLSchema" xmlns:xs="http://www.w3.org/2001/XMLSchema" xmlns:p="http://schemas.microsoft.com/office/2006/metadata/properties" xmlns:ns2="b95dc946-013e-410e-b0b5-6f37427c3dd2" xmlns:ns3="9606577a-d613-4a79-a5e4-000a64d384af" targetNamespace="http://schemas.microsoft.com/office/2006/metadata/properties" ma:root="true" ma:fieldsID="138de955399a60e307be7eaa1a46efbb" ns2:_="" ns3:_="">
    <xsd:import namespace="b95dc946-013e-410e-b0b5-6f37427c3dd2"/>
    <xsd:import namespace="9606577a-d613-4a79-a5e4-000a64d384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5dc946-013e-410e-b0b5-6f37427c3d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56c7d068-81af-46bc-9596-1401770f0bc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606577a-d613-4a79-a5e4-000a64d384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3c8152a-bf32-4822-8f96-826d3131aa7b}" ma:internalName="TaxCatchAll" ma:showField="CatchAllData" ma:web="9606577a-d613-4a79-a5e4-000a64d384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6E29AB4-2013-4685-9CE5-6DD3240FDCAE}">
  <ds:schemaRefs>
    <ds:schemaRef ds:uri="http://schemas.microsoft.com/sharepoint/v3/contenttype/forms"/>
  </ds:schemaRefs>
</ds:datastoreItem>
</file>

<file path=customXml/itemProps3.xml><?xml version="1.0" encoding="utf-8"?>
<ds:datastoreItem xmlns:ds="http://schemas.openxmlformats.org/officeDocument/2006/customXml" ds:itemID="{C27875D1-65A0-48F6-874C-BB722592B5A4}">
  <ds:schemaRefs>
    <ds:schemaRef ds:uri="http://schemas.microsoft.com/office/2006/metadata/properties"/>
    <ds:schemaRef ds:uri="http://schemas.microsoft.com/office/infopath/2007/PartnerControls"/>
    <ds:schemaRef ds:uri="b95dc946-013e-410e-b0b5-6f37427c3dd2"/>
    <ds:schemaRef ds:uri="9606577a-d613-4a79-a5e4-000a64d384af"/>
  </ds:schemaRefs>
</ds:datastoreItem>
</file>

<file path=customXml/itemProps4.xml><?xml version="1.0" encoding="utf-8"?>
<ds:datastoreItem xmlns:ds="http://schemas.openxmlformats.org/officeDocument/2006/customXml" ds:itemID="{5B0054F2-84A5-45B4-B1B4-14C9D82CE3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5dc946-013e-410e-b0b5-6f37427c3dd2"/>
    <ds:schemaRef ds:uri="9606577a-d613-4a79-a5e4-000a64d384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1302</Words>
  <Characters>7427</Characters>
  <Application>Microsoft Office Word</Application>
  <DocSecurity>4</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8712</CharactersWithSpaces>
  <SharedDoc>false</SharedDoc>
  <HLinks>
    <vt:vector size="12" baseType="variant">
      <vt:variant>
        <vt:i4>8192072</vt:i4>
      </vt:variant>
      <vt:variant>
        <vt:i4>3</vt:i4>
      </vt:variant>
      <vt:variant>
        <vt:i4>0</vt:i4>
      </vt:variant>
      <vt:variant>
        <vt:i4>5</vt:i4>
      </vt:variant>
      <vt:variant>
        <vt:lpwstr>mailto:santina@reputationlab.it</vt:lpwstr>
      </vt:variant>
      <vt:variant>
        <vt:lpwstr/>
      </vt:variant>
      <vt:variant>
        <vt:i4>917554</vt:i4>
      </vt:variant>
      <vt:variant>
        <vt:i4>0</vt:i4>
      </vt:variant>
      <vt:variant>
        <vt:i4>0</vt:i4>
      </vt:variant>
      <vt:variant>
        <vt:i4>5</vt:i4>
      </vt:variant>
      <vt:variant>
        <vt:lpwstr>mailto:press@reputationlab.it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Premi</dc:creator>
  <cp:keywords/>
  <cp:lastModifiedBy>Francesco Premi</cp:lastModifiedBy>
  <cp:revision>16</cp:revision>
  <dcterms:created xsi:type="dcterms:W3CDTF">2026-09-04T17:31:00Z</dcterms:created>
  <dcterms:modified xsi:type="dcterms:W3CDTF">2026-11-06T09:54:00Z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0x010100B0C0998F7C03AC47A137D96F6FD73796</vt:lpwstr>
  </property>
  <property fmtid="{D5CDD505-2E9C-101B-9397-08002B2CF9AE}" pid="3" name="MediaServiceImageTags">
    <vt:lpwstr/>
  </property>
</Properties>
</file>