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22ABC" w14:textId="66AA2888" w:rsidR="00AC4E21" w:rsidRPr="008B260B" w:rsidRDefault="00AC4E21" w:rsidP="00910390">
      <w:pPr>
        <w:spacing w:line="300" w:lineRule="auto"/>
        <w:rPr>
          <w:rFonts w:ascii="Arial" w:eastAsia="Arial" w:hAnsi="Arial" w:cs="Arial"/>
          <w:b/>
          <w:bCs/>
          <w:color w:val="1D3626"/>
          <w:sz w:val="48"/>
          <w:szCs w:val="48"/>
        </w:rPr>
      </w:pPr>
      <w:proofErr w:type="spellStart"/>
      <w:r w:rsidRPr="00AC4E21">
        <w:rPr>
          <w:rFonts w:ascii="Arial" w:eastAsia="Arial" w:hAnsi="Arial" w:cs="Arial"/>
          <w:b/>
          <w:bCs/>
          <w:color w:val="1D3626"/>
          <w:sz w:val="48"/>
          <w:szCs w:val="48"/>
        </w:rPr>
        <w:t>ForGreen</w:t>
      </w:r>
      <w:proofErr w:type="spellEnd"/>
      <w:r w:rsidRPr="00AC4E21">
        <w:rPr>
          <w:rFonts w:ascii="Arial" w:eastAsia="Arial" w:hAnsi="Arial" w:cs="Arial"/>
          <w:b/>
          <w:bCs/>
          <w:color w:val="1D3626"/>
          <w:sz w:val="48"/>
          <w:szCs w:val="48"/>
        </w:rPr>
        <w:t>: la sostenibilità come leva di governance e come linguaggio di dialogo con il sistema finanziario</w:t>
      </w:r>
    </w:p>
    <w:p w14:paraId="095C774F" w14:textId="228C245B" w:rsidR="00AC4E21" w:rsidRPr="00AC4E21" w:rsidRDefault="00910390" w:rsidP="00AC4E21">
      <w:pPr>
        <w:spacing w:line="300" w:lineRule="auto"/>
        <w:rPr>
          <w:rFonts w:ascii="Arial" w:hAnsi="Arial" w:cs="Arial"/>
          <w:b/>
          <w:bCs/>
          <w:i/>
          <w:iCs/>
          <w:sz w:val="32"/>
          <w:szCs w:val="32"/>
        </w:rPr>
      </w:pPr>
      <w:r w:rsidRPr="00910390">
        <w:rPr>
          <w:rFonts w:ascii="Arial" w:eastAsia="Arial" w:hAnsi="Arial" w:cs="Arial"/>
          <w:b/>
          <w:bCs/>
          <w:color w:val="1D3626"/>
          <w:sz w:val="32"/>
          <w:szCs w:val="32"/>
        </w:rPr>
        <w:br/>
      </w:r>
      <w:r w:rsidR="00AC4E21" w:rsidRPr="00AC4E21">
        <w:rPr>
          <w:rFonts w:ascii="Arial" w:hAnsi="Arial" w:cs="Arial"/>
          <w:b/>
          <w:bCs/>
          <w:i/>
          <w:iCs/>
          <w:sz w:val="32"/>
          <w:szCs w:val="32"/>
        </w:rPr>
        <w:t xml:space="preserve">Dal Report di Sostenibilità 2025 emerge un modello </w:t>
      </w:r>
      <w:r w:rsidR="00AC4E21">
        <w:rPr>
          <w:rFonts w:ascii="Arial" w:hAnsi="Arial" w:cs="Arial"/>
          <w:b/>
          <w:bCs/>
          <w:i/>
          <w:iCs/>
          <w:sz w:val="32"/>
          <w:szCs w:val="32"/>
        </w:rPr>
        <w:br/>
      </w:r>
      <w:r w:rsidR="00AC4E21" w:rsidRPr="00AC4E21">
        <w:rPr>
          <w:rFonts w:ascii="Arial" w:hAnsi="Arial" w:cs="Arial"/>
          <w:b/>
          <w:bCs/>
          <w:i/>
          <w:iCs/>
          <w:sz w:val="32"/>
          <w:szCs w:val="32"/>
        </w:rPr>
        <w:t>che</w:t>
      </w:r>
      <w:r w:rsidR="006B7A16">
        <w:rPr>
          <w:rFonts w:ascii="Arial" w:hAnsi="Arial" w:cs="Arial"/>
          <w:b/>
          <w:bCs/>
          <w:i/>
          <w:iCs/>
          <w:sz w:val="32"/>
          <w:szCs w:val="32"/>
        </w:rPr>
        <w:t xml:space="preserve"> </w:t>
      </w:r>
      <w:r w:rsidR="006B7A16" w:rsidRPr="006B7A16">
        <w:rPr>
          <w:rFonts w:ascii="Arial" w:hAnsi="Arial" w:cs="Arial"/>
          <w:b/>
          <w:bCs/>
          <w:i/>
          <w:iCs/>
          <w:sz w:val="32"/>
          <w:szCs w:val="32"/>
        </w:rPr>
        <w:t xml:space="preserve">integra performance economiche, </w:t>
      </w:r>
      <w:r w:rsidR="006B7A16">
        <w:rPr>
          <w:rFonts w:ascii="Arial" w:hAnsi="Arial" w:cs="Arial"/>
          <w:b/>
          <w:bCs/>
          <w:i/>
          <w:iCs/>
          <w:sz w:val="32"/>
          <w:szCs w:val="32"/>
        </w:rPr>
        <w:br/>
      </w:r>
      <w:r w:rsidR="006B7A16" w:rsidRPr="006B7A16">
        <w:rPr>
          <w:rFonts w:ascii="Arial" w:hAnsi="Arial" w:cs="Arial"/>
          <w:b/>
          <w:bCs/>
          <w:i/>
          <w:iCs/>
          <w:sz w:val="32"/>
          <w:szCs w:val="32"/>
        </w:rPr>
        <w:t>impatti ESG e capacità di creare valore nel tempo</w:t>
      </w:r>
    </w:p>
    <w:p w14:paraId="65E79A40" w14:textId="77777777" w:rsidR="00AC4E21" w:rsidRDefault="00AC4E21" w:rsidP="00AC4E21">
      <w:pPr>
        <w:jc w:val="both"/>
        <w:rPr>
          <w:rFonts w:ascii="Times New Roman" w:eastAsia="Times New Roman" w:hAnsi="Times New Roman" w:cs="Times New Roman"/>
          <w:color w:val="000000"/>
        </w:rPr>
      </w:pPr>
    </w:p>
    <w:p w14:paraId="0E4FB1A7" w14:textId="526A9C34" w:rsidR="00AC4E21" w:rsidRPr="00AC4E21" w:rsidRDefault="006B7A16" w:rsidP="00AC4E21">
      <w:pPr>
        <w:ind w:left="-426"/>
        <w:jc w:val="both"/>
        <w:rPr>
          <w:rFonts w:ascii="Arial" w:hAnsi="Arial" w:cs="Arial"/>
        </w:rPr>
      </w:pPr>
      <w:r>
        <w:rPr>
          <w:rFonts w:ascii="Arial" w:eastAsia="Times New Roman" w:hAnsi="Arial" w:cs="Arial"/>
          <w:color w:val="000000"/>
        </w:rPr>
        <w:t xml:space="preserve">Il </w:t>
      </w:r>
      <w:r w:rsidR="00AC4E21" w:rsidRPr="00AC4E21">
        <w:rPr>
          <w:rFonts w:ascii="Arial" w:eastAsia="Times New Roman" w:hAnsi="Arial" w:cs="Arial"/>
          <w:color w:val="000000"/>
        </w:rPr>
        <w:t>nuovo </w:t>
      </w:r>
      <w:r w:rsidR="00AC4E21" w:rsidRPr="00AC4E21">
        <w:rPr>
          <w:rFonts w:ascii="Arial" w:eastAsia="Times New Roman" w:hAnsi="Arial" w:cs="Arial"/>
          <w:b/>
          <w:bCs/>
          <w:color w:val="000000"/>
        </w:rPr>
        <w:t>Report di Sostenibilità 2025</w:t>
      </w:r>
      <w:r w:rsidR="00AC4E21" w:rsidRPr="00AC4E21">
        <w:rPr>
          <w:rFonts w:ascii="Arial" w:eastAsia="Times New Roman" w:hAnsi="Arial" w:cs="Arial"/>
          <w:color w:val="000000"/>
        </w:rPr>
        <w:t> di </w:t>
      </w:r>
      <w:proofErr w:type="spellStart"/>
      <w:r w:rsidR="00AC4E21" w:rsidRPr="00AC4E21">
        <w:rPr>
          <w:rFonts w:ascii="Arial" w:eastAsia="Times New Roman" w:hAnsi="Arial" w:cs="Arial"/>
          <w:b/>
          <w:bCs/>
          <w:color w:val="000000"/>
        </w:rPr>
        <w:t>ForGreen</w:t>
      </w:r>
      <w:proofErr w:type="spellEnd"/>
      <w:r w:rsidR="00AC4E21" w:rsidRPr="00AC4E21">
        <w:rPr>
          <w:rFonts w:ascii="Arial" w:eastAsia="Times New Roman" w:hAnsi="Arial" w:cs="Arial"/>
          <w:color w:val="000000"/>
        </w:rPr>
        <w:t>, società benefit attiva nella fornitura di energia e nello sviluppo di progetti di condivisione energetica,</w:t>
      </w:r>
      <w:r>
        <w:rPr>
          <w:rFonts w:ascii="Arial" w:eastAsia="Times New Roman" w:hAnsi="Arial" w:cs="Arial"/>
          <w:color w:val="000000"/>
        </w:rPr>
        <w:t xml:space="preserve"> evidenzia numeri in crescita confermando la solidità del modello di business.</w:t>
      </w:r>
      <w:r w:rsidR="00AC4E21" w:rsidRPr="00AC4E21">
        <w:rPr>
          <w:rFonts w:ascii="Arial" w:eastAsia="Times New Roman" w:hAnsi="Arial" w:cs="Arial"/>
          <w:color w:val="000000"/>
        </w:rPr>
        <w:t xml:space="preserve"> Dal punto di vista infrastrutturale il report sottolinea come </w:t>
      </w:r>
      <w:r w:rsidR="00AC4E21" w:rsidRPr="00AC4E21">
        <w:rPr>
          <w:rFonts w:ascii="Arial" w:eastAsia="Times New Roman" w:hAnsi="Arial" w:cs="Arial"/>
          <w:b/>
          <w:bCs/>
          <w:color w:val="000000"/>
        </w:rPr>
        <w:t>la potenza degli impianti condivisi raggiunga 7.589 kWp</w:t>
      </w:r>
      <w:r>
        <w:rPr>
          <w:rFonts w:ascii="Arial" w:eastAsia="Times New Roman" w:hAnsi="Arial" w:cs="Arial"/>
          <w:b/>
          <w:bCs/>
          <w:color w:val="000000"/>
        </w:rPr>
        <w:t xml:space="preserve"> (+24,49% rispetto al 2024)</w:t>
      </w:r>
      <w:r w:rsidR="00AC4E21" w:rsidRPr="00AC4E21">
        <w:rPr>
          <w:rFonts w:ascii="Arial" w:eastAsia="Times New Roman" w:hAnsi="Arial" w:cs="Arial"/>
          <w:b/>
          <w:bCs/>
          <w:color w:val="000000"/>
        </w:rPr>
        <w:t xml:space="preserve"> mentre le nuove autorizzazioni sviluppate o in pipeline superano 13,2 MWp</w:t>
      </w:r>
      <w:r>
        <w:rPr>
          <w:rFonts w:ascii="Arial" w:eastAsia="Times New Roman" w:hAnsi="Arial" w:cs="Arial"/>
          <w:b/>
          <w:bCs/>
          <w:color w:val="000000"/>
        </w:rPr>
        <w:t xml:space="preserve"> (+17,66%)</w:t>
      </w:r>
      <w:r w:rsidR="00AC4E21" w:rsidRPr="00AC4E21">
        <w:rPr>
          <w:rFonts w:ascii="Arial" w:eastAsia="Times New Roman" w:hAnsi="Arial" w:cs="Arial"/>
          <w:color w:val="000000"/>
        </w:rPr>
        <w:t xml:space="preserve">, confermando la continuità della crescita nel settore della produzione rinnovabile e delle comunità energetiche. </w:t>
      </w:r>
      <w:r w:rsidR="00AC4E21" w:rsidRPr="00AC4E21">
        <w:rPr>
          <w:rFonts w:ascii="Arial" w:eastAsia="Times New Roman" w:hAnsi="Arial" w:cs="Arial"/>
          <w:b/>
          <w:bCs/>
          <w:color w:val="000000"/>
        </w:rPr>
        <w:t>Parallelamente, la produzione complessiva di energia pulita supera 55,7 milioni di kWh</w:t>
      </w:r>
      <w:r>
        <w:rPr>
          <w:rFonts w:ascii="Arial" w:eastAsia="Times New Roman" w:hAnsi="Arial" w:cs="Arial"/>
          <w:b/>
          <w:bCs/>
          <w:color w:val="000000"/>
        </w:rPr>
        <w:t xml:space="preserve"> (+29,30%)</w:t>
      </w:r>
      <w:r w:rsidR="00AC4E21" w:rsidRPr="00AC4E21">
        <w:rPr>
          <w:rFonts w:ascii="Arial" w:eastAsia="Times New Roman" w:hAnsi="Arial" w:cs="Arial"/>
          <w:b/>
          <w:bCs/>
          <w:color w:val="000000"/>
        </w:rPr>
        <w:t>, a fronte di oltre 34,5 milioni di kWh</w:t>
      </w:r>
      <w:r>
        <w:rPr>
          <w:rFonts w:ascii="Arial" w:eastAsia="Times New Roman" w:hAnsi="Arial" w:cs="Arial"/>
          <w:b/>
          <w:bCs/>
          <w:color w:val="000000"/>
        </w:rPr>
        <w:t xml:space="preserve"> (+3,86%)</w:t>
      </w:r>
      <w:r w:rsidR="00AC4E21" w:rsidRPr="00AC4E21">
        <w:rPr>
          <w:rFonts w:ascii="Arial" w:eastAsia="Times New Roman" w:hAnsi="Arial" w:cs="Arial"/>
          <w:b/>
          <w:bCs/>
          <w:color w:val="000000"/>
        </w:rPr>
        <w:t> di energia rinnovabile certificata e consumata all'interno delle configurazioni sviluppate dall'azienda</w:t>
      </w:r>
      <w:r w:rsidR="00AC4E21" w:rsidRPr="00AC4E21">
        <w:rPr>
          <w:rFonts w:ascii="Arial" w:eastAsia="Times New Roman" w:hAnsi="Arial" w:cs="Arial"/>
          <w:color w:val="000000"/>
        </w:rPr>
        <w:t xml:space="preserve">. Sul piano finanziario, il Report evidenzia </w:t>
      </w:r>
      <w:r w:rsidR="00AC4E21" w:rsidRPr="00AC4E21">
        <w:rPr>
          <w:rFonts w:ascii="Arial" w:eastAsia="Times New Roman" w:hAnsi="Arial" w:cs="Arial"/>
          <w:b/>
          <w:bCs/>
          <w:color w:val="000000"/>
        </w:rPr>
        <w:t xml:space="preserve">un incremento pari al </w:t>
      </w:r>
      <w:r w:rsidR="00CF22A4" w:rsidRPr="006B7A16">
        <w:rPr>
          <w:rFonts w:ascii="Arial" w:eastAsia="Times New Roman" w:hAnsi="Arial" w:cs="Arial"/>
          <w:b/>
          <w:bCs/>
          <w:color w:val="000000"/>
        </w:rPr>
        <w:t>34,10%</w:t>
      </w:r>
      <w:r w:rsidR="00AC4E21" w:rsidRPr="00AC4E21">
        <w:rPr>
          <w:rFonts w:ascii="Arial" w:eastAsia="Times New Roman" w:hAnsi="Arial" w:cs="Arial"/>
          <w:b/>
          <w:bCs/>
          <w:color w:val="000000"/>
        </w:rPr>
        <w:t xml:space="preserve"> degli investimenti destinati agli impianti di produzione, che raggiungono 37,6 milioni di euro</w:t>
      </w:r>
      <w:r w:rsidR="00CF22A4">
        <w:rPr>
          <w:rFonts w:ascii="Arial" w:eastAsia="Times New Roman" w:hAnsi="Arial" w:cs="Arial"/>
          <w:b/>
          <w:bCs/>
          <w:color w:val="000000"/>
        </w:rPr>
        <w:t xml:space="preserve"> </w:t>
      </w:r>
      <w:r w:rsidR="00CF22A4" w:rsidRPr="006B7A16">
        <w:rPr>
          <w:rFonts w:ascii="Arial" w:eastAsia="Times New Roman" w:hAnsi="Arial" w:cs="Arial"/>
          <w:b/>
          <w:bCs/>
          <w:color w:val="000000"/>
        </w:rPr>
        <w:t>nel 2025</w:t>
      </w:r>
      <w:r w:rsidR="00AC4E21" w:rsidRPr="00AC4E21">
        <w:rPr>
          <w:rFonts w:ascii="Arial" w:eastAsia="Times New Roman" w:hAnsi="Arial" w:cs="Arial"/>
          <w:b/>
          <w:bCs/>
          <w:color w:val="000000"/>
        </w:rPr>
        <w:t xml:space="preserve">, </w:t>
      </w:r>
      <w:r w:rsidR="00AC4E21" w:rsidRPr="00AC4E21">
        <w:rPr>
          <w:rFonts w:ascii="Arial" w:eastAsia="Times New Roman" w:hAnsi="Arial" w:cs="Arial"/>
          <w:color w:val="000000"/>
        </w:rPr>
        <w:t xml:space="preserve">accompagnato da una crescita significativa delle </w:t>
      </w:r>
      <w:r w:rsidR="00AC4E21" w:rsidRPr="00AC4E21">
        <w:rPr>
          <w:rFonts w:ascii="Arial" w:eastAsia="Times New Roman" w:hAnsi="Arial" w:cs="Arial"/>
          <w:b/>
          <w:bCs/>
          <w:color w:val="000000"/>
        </w:rPr>
        <w:t>quote di autoproduzione raccolte che hanno raggiunto 3,59 milioni</w:t>
      </w:r>
      <w:r w:rsidR="00CF22A4">
        <w:rPr>
          <w:rFonts w:ascii="Arial" w:eastAsia="Times New Roman" w:hAnsi="Arial" w:cs="Arial"/>
          <w:b/>
          <w:bCs/>
          <w:color w:val="000000"/>
        </w:rPr>
        <w:t xml:space="preserve"> </w:t>
      </w:r>
      <w:r w:rsidR="00CF22A4" w:rsidRPr="006B7A16">
        <w:rPr>
          <w:rFonts w:ascii="Arial" w:eastAsia="Times New Roman" w:hAnsi="Arial" w:cs="Arial"/>
          <w:color w:val="000000"/>
        </w:rPr>
        <w:t>(nel 2024 erano state 1,6 milioni)</w:t>
      </w:r>
      <w:r w:rsidR="00AC4E21" w:rsidRPr="006B7A16">
        <w:rPr>
          <w:rFonts w:ascii="Arial" w:eastAsia="Times New Roman" w:hAnsi="Arial" w:cs="Arial"/>
          <w:color w:val="000000"/>
        </w:rPr>
        <w:t>,</w:t>
      </w:r>
      <w:r w:rsidR="00AC4E21" w:rsidRPr="00AC4E21">
        <w:rPr>
          <w:rFonts w:ascii="Arial" w:eastAsia="Times New Roman" w:hAnsi="Arial" w:cs="Arial"/>
          <w:color w:val="000000"/>
        </w:rPr>
        <w:t xml:space="preserve"> segnale della capacità del modello di attrarre capitale diffuso e coinvolgere direttamente cittadini e imprese nella realizzazione delle infrastrutture energetiche. Il modello partecipativo continua inoltre a espandersi e le comunità energetiche promosse da </w:t>
      </w:r>
      <w:proofErr w:type="spellStart"/>
      <w:r w:rsidR="00AC4E21" w:rsidRPr="00AC4E21">
        <w:rPr>
          <w:rFonts w:ascii="Arial" w:eastAsia="Times New Roman" w:hAnsi="Arial" w:cs="Arial"/>
          <w:color w:val="000000"/>
        </w:rPr>
        <w:t>ForGreen</w:t>
      </w:r>
      <w:proofErr w:type="spellEnd"/>
      <w:r w:rsidR="00AC4E21" w:rsidRPr="00AC4E21">
        <w:rPr>
          <w:rFonts w:ascii="Arial" w:eastAsia="Times New Roman" w:hAnsi="Arial" w:cs="Arial"/>
          <w:color w:val="000000"/>
        </w:rPr>
        <w:t xml:space="preserve"> coinvolgono </w:t>
      </w:r>
      <w:r w:rsidR="00AC4E21" w:rsidRPr="00AC4E21">
        <w:rPr>
          <w:rFonts w:ascii="Arial" w:eastAsia="Times New Roman" w:hAnsi="Arial" w:cs="Arial"/>
          <w:b/>
          <w:bCs/>
          <w:color w:val="000000"/>
        </w:rPr>
        <w:t>4.226 membri</w:t>
      </w:r>
      <w:r w:rsidR="00AC4E21" w:rsidRPr="00AC4E21">
        <w:rPr>
          <w:rFonts w:ascii="Arial" w:eastAsia="Times New Roman" w:hAnsi="Arial" w:cs="Arial"/>
          <w:color w:val="000000"/>
        </w:rPr>
        <w:t xml:space="preserve"> </w:t>
      </w:r>
      <w:r w:rsidR="00AC4E21" w:rsidRPr="00AC4E21">
        <w:rPr>
          <w:rFonts w:ascii="Arial" w:eastAsia="Times New Roman" w:hAnsi="Arial" w:cs="Arial"/>
          <w:b/>
          <w:bCs/>
          <w:color w:val="000000"/>
        </w:rPr>
        <w:t>ai quali nel corso dell'anno sono stati riconosciuti benefici economici complessivi pari a quasi</w:t>
      </w:r>
      <w:r w:rsidR="00AC4E21" w:rsidRPr="00AC4E21">
        <w:rPr>
          <w:rFonts w:ascii="Arial" w:eastAsia="Times New Roman" w:hAnsi="Arial" w:cs="Arial"/>
          <w:color w:val="000000"/>
        </w:rPr>
        <w:t> </w:t>
      </w:r>
      <w:r w:rsidR="00AC4E21" w:rsidRPr="00AC4E21">
        <w:rPr>
          <w:rFonts w:ascii="Arial" w:eastAsia="Times New Roman" w:hAnsi="Arial" w:cs="Arial"/>
          <w:b/>
          <w:bCs/>
          <w:color w:val="000000"/>
        </w:rPr>
        <w:t>800 mila euro</w:t>
      </w:r>
      <w:r w:rsidR="00AC4E21" w:rsidRPr="00AC4E21">
        <w:rPr>
          <w:rFonts w:ascii="Arial" w:eastAsia="Times New Roman" w:hAnsi="Arial" w:cs="Arial"/>
          <w:color w:val="000000"/>
        </w:rPr>
        <w:t>. Un’attenzione alla declinazione sociale della sostenibilità confermata anche dai 125.000 euro investiti nel welfare e dal coinvolgimento di tutti i lavoratori in attività di formazione interna</w:t>
      </w:r>
      <w:r w:rsidR="00721932">
        <w:rPr>
          <w:rFonts w:ascii="Arial" w:eastAsia="Times New Roman" w:hAnsi="Arial" w:cs="Arial"/>
          <w:color w:val="000000"/>
        </w:rPr>
        <w:t xml:space="preserve"> mentre il 62% ha seguito una formazione esterna specialistica</w:t>
      </w:r>
      <w:r w:rsidR="00AC4E21" w:rsidRPr="00AC4E21">
        <w:rPr>
          <w:rFonts w:ascii="Arial" w:eastAsia="Times New Roman" w:hAnsi="Arial" w:cs="Arial"/>
          <w:color w:val="000000"/>
        </w:rPr>
        <w:t xml:space="preserve">. </w:t>
      </w:r>
      <w:r w:rsidR="00912B04">
        <w:rPr>
          <w:rFonts w:ascii="Arial" w:eastAsia="Times New Roman" w:hAnsi="Arial" w:cs="Arial"/>
          <w:color w:val="000000"/>
        </w:rPr>
        <w:t xml:space="preserve">Ma la principale evidenza che emerge dal documento è </w:t>
      </w:r>
      <w:r w:rsidR="00912B04">
        <w:rPr>
          <w:rFonts w:ascii="Arial" w:eastAsia="Times New Roman" w:hAnsi="Arial" w:cs="Arial"/>
          <w:b/>
          <w:bCs/>
          <w:color w:val="000000"/>
        </w:rPr>
        <w:t>il valore dell</w:t>
      </w:r>
      <w:r w:rsidR="00912B04" w:rsidRPr="00AC4E21">
        <w:rPr>
          <w:rFonts w:ascii="Arial" w:eastAsia="Times New Roman" w:hAnsi="Arial" w:cs="Arial"/>
          <w:b/>
          <w:bCs/>
          <w:color w:val="000000"/>
        </w:rPr>
        <w:t>a sostenibilità come componente sempre più rilevante nella valutazione della solidità di un'impresa</w:t>
      </w:r>
      <w:r w:rsidR="00912B04" w:rsidRPr="00AC4E21">
        <w:rPr>
          <w:rFonts w:ascii="Arial" w:eastAsia="Times New Roman" w:hAnsi="Arial" w:cs="Arial"/>
          <w:color w:val="000000"/>
        </w:rPr>
        <w:t xml:space="preserve">: </w:t>
      </w:r>
      <w:r w:rsidR="00912B04">
        <w:rPr>
          <w:rFonts w:ascii="Arial" w:eastAsia="Times New Roman" w:hAnsi="Arial" w:cs="Arial"/>
          <w:color w:val="000000"/>
        </w:rPr>
        <w:t xml:space="preserve">un principio che </w:t>
      </w:r>
      <w:proofErr w:type="spellStart"/>
      <w:r w:rsidR="00912B04">
        <w:rPr>
          <w:rFonts w:ascii="Arial" w:eastAsia="Times New Roman" w:hAnsi="Arial" w:cs="Arial"/>
          <w:color w:val="000000"/>
        </w:rPr>
        <w:t>ForGreen</w:t>
      </w:r>
      <w:proofErr w:type="spellEnd"/>
      <w:r w:rsidR="00912B04">
        <w:rPr>
          <w:rFonts w:ascii="Arial" w:eastAsia="Times New Roman" w:hAnsi="Arial" w:cs="Arial"/>
          <w:color w:val="000000"/>
        </w:rPr>
        <w:t xml:space="preserve"> afferma con coerenza scegliendo</w:t>
      </w:r>
      <w:r w:rsidR="00912B04" w:rsidRPr="00AC4E21">
        <w:rPr>
          <w:rFonts w:ascii="Arial" w:eastAsia="Times New Roman" w:hAnsi="Arial" w:cs="Arial"/>
          <w:color w:val="000000"/>
        </w:rPr>
        <w:t xml:space="preserve"> </w:t>
      </w:r>
      <w:r w:rsidR="00912B04" w:rsidRPr="00AC4E21">
        <w:rPr>
          <w:rFonts w:ascii="Arial" w:eastAsia="Times New Roman" w:hAnsi="Arial" w:cs="Arial"/>
          <w:b/>
          <w:bCs/>
          <w:color w:val="000000"/>
        </w:rPr>
        <w:t>volontariamente di adottare gli </w:t>
      </w:r>
      <w:proofErr w:type="spellStart"/>
      <w:r w:rsidR="00912B04" w:rsidRPr="00AC4E21">
        <w:rPr>
          <w:rFonts w:ascii="Arial" w:eastAsia="Times New Roman" w:hAnsi="Arial" w:cs="Arial"/>
          <w:b/>
          <w:bCs/>
          <w:color w:val="000000"/>
        </w:rPr>
        <w:t>European</w:t>
      </w:r>
      <w:proofErr w:type="spellEnd"/>
      <w:r w:rsidR="00912B04" w:rsidRPr="00AC4E21">
        <w:rPr>
          <w:rFonts w:ascii="Arial" w:eastAsia="Times New Roman" w:hAnsi="Arial" w:cs="Arial"/>
          <w:b/>
          <w:bCs/>
          <w:color w:val="000000"/>
        </w:rPr>
        <w:t xml:space="preserve"> </w:t>
      </w:r>
      <w:proofErr w:type="spellStart"/>
      <w:r w:rsidR="00912B04" w:rsidRPr="00AC4E21">
        <w:rPr>
          <w:rFonts w:ascii="Arial" w:eastAsia="Times New Roman" w:hAnsi="Arial" w:cs="Arial"/>
          <w:b/>
          <w:bCs/>
          <w:color w:val="000000"/>
        </w:rPr>
        <w:t>Sustainability</w:t>
      </w:r>
      <w:proofErr w:type="spellEnd"/>
      <w:r w:rsidR="00912B04" w:rsidRPr="00AC4E21">
        <w:rPr>
          <w:rFonts w:ascii="Arial" w:eastAsia="Times New Roman" w:hAnsi="Arial" w:cs="Arial"/>
          <w:b/>
          <w:bCs/>
          <w:color w:val="000000"/>
        </w:rPr>
        <w:t xml:space="preserve"> Reporting Standards </w:t>
      </w:r>
      <w:r w:rsidR="00912B04" w:rsidRPr="00AC4E21">
        <w:rPr>
          <w:rFonts w:ascii="Arial" w:eastAsia="Times New Roman" w:hAnsi="Arial" w:cs="Arial"/>
          <w:b/>
          <w:bCs/>
          <w:color w:val="000000"/>
        </w:rPr>
        <w:lastRenderedPageBreak/>
        <w:t>(ESRS) e il framework VSME destinato alle PMI</w:t>
      </w:r>
      <w:r w:rsidR="00912B04" w:rsidRPr="00AC4E21">
        <w:rPr>
          <w:rFonts w:ascii="Arial" w:eastAsia="Times New Roman" w:hAnsi="Arial" w:cs="Arial"/>
          <w:color w:val="000000"/>
        </w:rPr>
        <w:t xml:space="preserve">, pur non essendo soggetta agli obblighi previsti dalla Corporate </w:t>
      </w:r>
      <w:proofErr w:type="spellStart"/>
      <w:r w:rsidR="00912B04" w:rsidRPr="00AC4E21">
        <w:rPr>
          <w:rFonts w:ascii="Arial" w:eastAsia="Times New Roman" w:hAnsi="Arial" w:cs="Arial"/>
          <w:color w:val="000000"/>
        </w:rPr>
        <w:t>Sustainability</w:t>
      </w:r>
      <w:proofErr w:type="spellEnd"/>
      <w:r w:rsidR="00912B04" w:rsidRPr="00AC4E21">
        <w:rPr>
          <w:rFonts w:ascii="Arial" w:eastAsia="Times New Roman" w:hAnsi="Arial" w:cs="Arial"/>
          <w:color w:val="000000"/>
        </w:rPr>
        <w:t xml:space="preserve"> Reporting Directive (CSRD).</w:t>
      </w:r>
    </w:p>
    <w:p w14:paraId="33096375" w14:textId="77777777" w:rsidR="00AC4E21" w:rsidRPr="00AC4E21" w:rsidRDefault="00AC4E21" w:rsidP="00AC4E21">
      <w:pPr>
        <w:ind w:left="-426"/>
        <w:jc w:val="both"/>
        <w:rPr>
          <w:rFonts w:ascii="Arial" w:hAnsi="Arial" w:cs="Arial"/>
        </w:rPr>
      </w:pPr>
    </w:p>
    <w:p w14:paraId="1DC2CB6B" w14:textId="77777777" w:rsidR="00AC4E21" w:rsidRPr="00AC4E21" w:rsidRDefault="00AC4E21" w:rsidP="00AC4E21">
      <w:pPr>
        <w:ind w:left="-426"/>
        <w:jc w:val="both"/>
        <w:rPr>
          <w:rFonts w:ascii="Arial" w:hAnsi="Arial" w:cs="Arial"/>
          <w:color w:val="000000"/>
        </w:rPr>
      </w:pPr>
      <w:r w:rsidRPr="00AC4E21">
        <w:rPr>
          <w:rFonts w:ascii="Arial" w:hAnsi="Arial" w:cs="Arial"/>
        </w:rPr>
        <w:t xml:space="preserve">“I numeri testimoniano una crescita e la solidità del nostro modello di business ma l’impegno che ci assumiamo va oltre la pubblicazione di questo report annuale.  </w:t>
      </w:r>
      <w:proofErr w:type="spellStart"/>
      <w:r w:rsidRPr="00AC4E21">
        <w:rPr>
          <w:rFonts w:ascii="Arial" w:hAnsi="Arial" w:cs="Arial"/>
        </w:rPr>
        <w:t>ForGreen</w:t>
      </w:r>
      <w:proofErr w:type="spellEnd"/>
      <w:r w:rsidRPr="00AC4E21">
        <w:rPr>
          <w:rFonts w:ascii="Arial" w:hAnsi="Arial" w:cs="Arial"/>
        </w:rPr>
        <w:t xml:space="preserve"> </w:t>
      </w:r>
      <w:r w:rsidRPr="00AC4E21">
        <w:rPr>
          <w:rFonts w:ascii="Arial" w:eastAsia="Times New Roman" w:hAnsi="Arial" w:cs="Arial"/>
          <w:color w:val="000000"/>
        </w:rPr>
        <w:t xml:space="preserve">propone una visione nella quale la rendicontazione ESG non è solo un adempimento amministrativo, ma uno strumento di governo dell'impresa, capace di fornire informazioni strutturate, verificabili e comparabili sulla capacità dell'organizzazione di creare valore nel medio e lungo periodo. Una prospettiva che riflette l'evoluzione in corso nel rapporto tra imprese e finanza” afferma </w:t>
      </w:r>
      <w:r w:rsidRPr="00F60F29">
        <w:rPr>
          <w:rFonts w:ascii="Arial" w:eastAsia="Times New Roman" w:hAnsi="Arial" w:cs="Arial"/>
          <w:b/>
          <w:bCs/>
          <w:color w:val="000000"/>
        </w:rPr>
        <w:t>Gabriele Nicolis</w:t>
      </w:r>
      <w:r w:rsidRPr="00AC4E21">
        <w:rPr>
          <w:rFonts w:ascii="Arial" w:eastAsia="Times New Roman" w:hAnsi="Arial" w:cs="Arial"/>
          <w:color w:val="000000"/>
        </w:rPr>
        <w:t xml:space="preserve">, </w:t>
      </w:r>
      <w:r w:rsidRPr="00AC4E21">
        <w:rPr>
          <w:rFonts w:ascii="Arial" w:hAnsi="Arial" w:cs="Arial"/>
          <w:color w:val="000000"/>
        </w:rPr>
        <w:t xml:space="preserve">AD </w:t>
      </w:r>
      <w:proofErr w:type="spellStart"/>
      <w:r w:rsidRPr="00AC4E21">
        <w:rPr>
          <w:rFonts w:ascii="Arial" w:hAnsi="Arial" w:cs="Arial"/>
          <w:color w:val="000000"/>
        </w:rPr>
        <w:t>ForGreen</w:t>
      </w:r>
      <w:proofErr w:type="spellEnd"/>
      <w:r w:rsidRPr="00AC4E21">
        <w:rPr>
          <w:rFonts w:ascii="Arial" w:hAnsi="Arial" w:cs="Arial"/>
          <w:color w:val="000000"/>
        </w:rPr>
        <w:t xml:space="preserve"> Spa Sb.</w:t>
      </w:r>
    </w:p>
    <w:p w14:paraId="5D95DC3B" w14:textId="77777777" w:rsidR="00AC4E21" w:rsidRPr="00AC4E21" w:rsidRDefault="00AC4E21" w:rsidP="00AC4E21">
      <w:pPr>
        <w:ind w:left="-426"/>
        <w:jc w:val="both"/>
        <w:rPr>
          <w:rFonts w:ascii="Arial" w:hAnsi="Arial" w:cs="Arial"/>
          <w:color w:val="000000"/>
        </w:rPr>
      </w:pPr>
    </w:p>
    <w:p w14:paraId="58BC3F8C" w14:textId="77777777" w:rsidR="00AC4E21" w:rsidRPr="00AC4E21" w:rsidRDefault="00AC4E21" w:rsidP="00AC4E21">
      <w:pPr>
        <w:ind w:left="-426"/>
        <w:jc w:val="both"/>
        <w:rPr>
          <w:rFonts w:ascii="Arial" w:hAnsi="Arial" w:cs="Arial"/>
        </w:rPr>
      </w:pPr>
      <w:r w:rsidRPr="00AC4E21">
        <w:rPr>
          <w:rFonts w:ascii="Arial" w:hAnsi="Arial" w:cs="Arial"/>
        </w:rPr>
        <w:t xml:space="preserve">LA METODOLOGIA – A partire dal 2019, </w:t>
      </w:r>
      <w:proofErr w:type="spellStart"/>
      <w:r w:rsidRPr="00AC4E21">
        <w:rPr>
          <w:rFonts w:ascii="Arial" w:hAnsi="Arial" w:cs="Arial"/>
        </w:rPr>
        <w:t>ForGreen</w:t>
      </w:r>
      <w:proofErr w:type="spellEnd"/>
      <w:r w:rsidRPr="00AC4E21">
        <w:rPr>
          <w:rFonts w:ascii="Arial" w:hAnsi="Arial" w:cs="Arial"/>
        </w:rPr>
        <w:t xml:space="preserve"> ha adottato l’</w:t>
      </w:r>
      <w:proofErr w:type="spellStart"/>
      <w:r w:rsidRPr="00AC4E21">
        <w:rPr>
          <w:rFonts w:ascii="Arial" w:hAnsi="Arial" w:cs="Arial"/>
        </w:rPr>
        <w:t>Integrated</w:t>
      </w:r>
      <w:proofErr w:type="spellEnd"/>
      <w:r w:rsidRPr="00AC4E21">
        <w:rPr>
          <w:rFonts w:ascii="Arial" w:hAnsi="Arial" w:cs="Arial"/>
        </w:rPr>
        <w:t xml:space="preserve"> </w:t>
      </w:r>
      <w:proofErr w:type="spellStart"/>
      <w:r w:rsidRPr="00AC4E21">
        <w:rPr>
          <w:rFonts w:ascii="Arial" w:hAnsi="Arial" w:cs="Arial"/>
        </w:rPr>
        <w:t>Annual</w:t>
      </w:r>
      <w:proofErr w:type="spellEnd"/>
      <w:r w:rsidRPr="00AC4E21">
        <w:rPr>
          <w:rFonts w:ascii="Arial" w:hAnsi="Arial" w:cs="Arial"/>
        </w:rPr>
        <w:t xml:space="preserve"> Report come principale strumento di rendicontazione delle proprie performance economiche e non finanziarie, in un’ottica di valorizzazione di una visione del valore d’impresa estesa anche agli impatti generati sul contesto sociale e ambientale. </w:t>
      </w:r>
      <w:r w:rsidRPr="00AC4E21">
        <w:rPr>
          <w:rFonts w:ascii="Arial" w:hAnsi="Arial" w:cs="Arial"/>
          <w:b/>
          <w:bCs/>
        </w:rPr>
        <w:t xml:space="preserve">Dall’esercizio 2024 la società ha poi ulteriormente evoluto il proprio approccio, introducendo il Report di </w:t>
      </w:r>
      <w:proofErr w:type="spellStart"/>
      <w:r w:rsidRPr="00AC4E21">
        <w:rPr>
          <w:rFonts w:ascii="Arial" w:hAnsi="Arial" w:cs="Arial"/>
          <w:b/>
          <w:bCs/>
        </w:rPr>
        <w:t>Sostenibilita</w:t>
      </w:r>
      <w:proofErr w:type="spellEnd"/>
      <w:r w:rsidRPr="00AC4E21">
        <w:rPr>
          <w:rFonts w:ascii="Arial" w:hAnsi="Arial" w:cs="Arial"/>
          <w:b/>
          <w:bCs/>
        </w:rPr>
        <w:t>̀ in sostituzione del precedente modello integrato, con l’obiettivo di rafforzare l’allineamento ai requisiti normativi europei in materia di rendicontazione della sostenibilità̀ e ai principali standard ESRS</w:t>
      </w:r>
      <w:r w:rsidRPr="00AC4E21">
        <w:rPr>
          <w:rFonts w:ascii="Arial" w:hAnsi="Arial" w:cs="Arial"/>
        </w:rPr>
        <w:t xml:space="preserve">, consolidando così un sistema di reporting </w:t>
      </w:r>
      <w:proofErr w:type="spellStart"/>
      <w:r w:rsidRPr="00AC4E21">
        <w:rPr>
          <w:rFonts w:ascii="Arial" w:hAnsi="Arial" w:cs="Arial"/>
        </w:rPr>
        <w:t>piu</w:t>
      </w:r>
      <w:proofErr w:type="spellEnd"/>
      <w:r w:rsidRPr="00AC4E21">
        <w:rPr>
          <w:rFonts w:ascii="Arial" w:hAnsi="Arial" w:cs="Arial"/>
        </w:rPr>
        <w:t>̀ strutturato, trasparente e comparabile.</w:t>
      </w:r>
    </w:p>
    <w:p w14:paraId="241A559D" w14:textId="77777777" w:rsidR="00AC4E21" w:rsidRPr="00AC4E21" w:rsidRDefault="00AC4E21" w:rsidP="00AC4E21">
      <w:pPr>
        <w:ind w:left="-426"/>
        <w:jc w:val="both"/>
        <w:rPr>
          <w:rFonts w:ascii="Arial" w:hAnsi="Arial" w:cs="Arial"/>
        </w:rPr>
      </w:pPr>
    </w:p>
    <w:p w14:paraId="56F2EB9D" w14:textId="77777777" w:rsidR="00AC4E21" w:rsidRPr="00AC4E21" w:rsidRDefault="00AC4E21" w:rsidP="00AC4E21">
      <w:pPr>
        <w:ind w:left="-426"/>
        <w:jc w:val="both"/>
        <w:rPr>
          <w:rFonts w:ascii="Arial" w:hAnsi="Arial" w:cs="Arial"/>
        </w:rPr>
      </w:pPr>
      <w:r w:rsidRPr="00AC4E21">
        <w:rPr>
          <w:rFonts w:ascii="Arial" w:eastAsia="Times New Roman" w:hAnsi="Arial" w:cs="Arial"/>
          <w:color w:val="000000"/>
        </w:rPr>
        <w:t>L'approccio metodologico adottato dall'azienda si fonda sul principio della </w:t>
      </w:r>
      <w:r w:rsidRPr="00AC4E21">
        <w:rPr>
          <w:rFonts w:ascii="Arial" w:eastAsia="Times New Roman" w:hAnsi="Arial" w:cs="Arial"/>
          <w:b/>
          <w:bCs/>
          <w:color w:val="000000"/>
        </w:rPr>
        <w:t>doppia materialità</w:t>
      </w:r>
      <w:r w:rsidRPr="00AC4E21">
        <w:rPr>
          <w:rFonts w:ascii="Arial" w:eastAsia="Times New Roman" w:hAnsi="Arial" w:cs="Arial"/>
          <w:color w:val="000000"/>
        </w:rPr>
        <w:t>, uno dei pilastri della nuova rendicontazione europea. Il concetto supera la tradizionale analisi dei rischi finanziari, introducendo una prospettiva più ampia che considera contemporaneamente gli impatti che l'impresa genera sull'ambiente e sulla società e gli effetti che i fattori ambientali, sociali e di governance possono produrre sulla capacità dell'impresa di creare valore nel tempo. Un'impostazione che consente di rappresentare in maniera più completa il profilo di rischio e le opportunità strategiche dell'organizzazione.</w:t>
      </w:r>
    </w:p>
    <w:p w14:paraId="5325F4C6" w14:textId="77777777" w:rsidR="00AC4E21" w:rsidRPr="00AC4E21" w:rsidRDefault="00AC4E21" w:rsidP="00AC4E21">
      <w:pPr>
        <w:ind w:left="-426"/>
        <w:jc w:val="both"/>
        <w:rPr>
          <w:rFonts w:ascii="Arial" w:hAnsi="Arial" w:cs="Arial"/>
        </w:rPr>
      </w:pPr>
    </w:p>
    <w:p w14:paraId="519048A4" w14:textId="77777777" w:rsidR="00AC4E21" w:rsidRPr="00AC4E21" w:rsidRDefault="00AC4E21" w:rsidP="00AC4E21">
      <w:pPr>
        <w:ind w:left="-426"/>
        <w:jc w:val="both"/>
        <w:rPr>
          <w:rFonts w:ascii="Arial" w:eastAsia="Times New Roman" w:hAnsi="Arial" w:cs="Arial"/>
          <w:color w:val="000000"/>
        </w:rPr>
      </w:pPr>
      <w:r w:rsidRPr="00AC4E21">
        <w:rPr>
          <w:rFonts w:ascii="Arial" w:eastAsia="Times New Roman" w:hAnsi="Arial" w:cs="Arial"/>
          <w:color w:val="000000"/>
        </w:rPr>
        <w:t>Accanto alla doppia materialità, il Report sviluppa un'analisi sistematica degli </w:t>
      </w:r>
      <w:r w:rsidRPr="00AC4E21">
        <w:rPr>
          <w:rFonts w:ascii="Arial" w:eastAsia="Times New Roman" w:hAnsi="Arial" w:cs="Arial"/>
          <w:b/>
          <w:bCs/>
          <w:color w:val="000000"/>
        </w:rPr>
        <w:t>Impatti, Rischi e Opportunità ESG (IRO)</w:t>
      </w:r>
      <w:r w:rsidRPr="00AC4E21">
        <w:rPr>
          <w:rFonts w:ascii="Arial" w:eastAsia="Times New Roman" w:hAnsi="Arial" w:cs="Arial"/>
          <w:color w:val="000000"/>
        </w:rPr>
        <w:t>, collegando ogni ambito di attività agli indicatori previsti dagli ESRS e costruendo una relazione diretta tra strategia industriale, performance operative e risultati di sostenibilità: un vero e proprio sistema informativo progettato per supportare le decisioni aziendali e migliorare la qualità del dialogo con tutti gli stakeholder.</w:t>
      </w:r>
    </w:p>
    <w:p w14:paraId="0FD55599" w14:textId="77777777" w:rsidR="00AC4E21" w:rsidRDefault="00AC4E21" w:rsidP="00AC4E21">
      <w:pPr>
        <w:ind w:left="-426"/>
        <w:jc w:val="both"/>
        <w:rPr>
          <w:rFonts w:ascii="Arial" w:hAnsi="Arial" w:cs="Arial"/>
        </w:rPr>
      </w:pPr>
    </w:p>
    <w:p w14:paraId="45602187" w14:textId="365FAF50" w:rsidR="00AC4E21" w:rsidRPr="00AC4E21" w:rsidRDefault="00AC4E21" w:rsidP="00AC4E21">
      <w:pPr>
        <w:ind w:left="-426"/>
        <w:jc w:val="both"/>
        <w:rPr>
          <w:rFonts w:ascii="Arial" w:hAnsi="Arial" w:cs="Arial"/>
        </w:rPr>
      </w:pPr>
      <w:r w:rsidRPr="00AC4E21">
        <w:rPr>
          <w:rFonts w:ascii="Arial" w:hAnsi="Arial" w:cs="Arial"/>
        </w:rPr>
        <w:t xml:space="preserve">Infine in </w:t>
      </w:r>
      <w:proofErr w:type="spellStart"/>
      <w:r w:rsidRPr="00AC4E21">
        <w:rPr>
          <w:rFonts w:ascii="Arial" w:hAnsi="Arial" w:cs="Arial"/>
        </w:rPr>
        <w:t>qualita</w:t>
      </w:r>
      <w:proofErr w:type="spellEnd"/>
      <w:r w:rsidRPr="00AC4E21">
        <w:rPr>
          <w:rFonts w:ascii="Arial" w:hAnsi="Arial" w:cs="Arial"/>
        </w:rPr>
        <w:t xml:space="preserve">̀ di </w:t>
      </w:r>
      <w:proofErr w:type="spellStart"/>
      <w:r w:rsidRPr="00AC4E21">
        <w:rPr>
          <w:rFonts w:ascii="Arial" w:hAnsi="Arial" w:cs="Arial"/>
        </w:rPr>
        <w:t>Societa</w:t>
      </w:r>
      <w:proofErr w:type="spellEnd"/>
      <w:r w:rsidRPr="00AC4E21">
        <w:rPr>
          <w:rFonts w:ascii="Arial" w:hAnsi="Arial" w:cs="Arial"/>
        </w:rPr>
        <w:t xml:space="preserve">̀ Benefit, </w:t>
      </w:r>
      <w:proofErr w:type="spellStart"/>
      <w:r w:rsidRPr="00AC4E21">
        <w:rPr>
          <w:rFonts w:ascii="Arial" w:hAnsi="Arial" w:cs="Arial"/>
        </w:rPr>
        <w:t>ForGreen</w:t>
      </w:r>
      <w:proofErr w:type="spellEnd"/>
      <w:r w:rsidRPr="00AC4E21">
        <w:rPr>
          <w:rFonts w:ascii="Arial" w:hAnsi="Arial" w:cs="Arial"/>
        </w:rPr>
        <w:t xml:space="preserve"> redige annualmente una </w:t>
      </w:r>
      <w:r w:rsidRPr="00AC4E21">
        <w:rPr>
          <w:rFonts w:ascii="Arial" w:hAnsi="Arial" w:cs="Arial"/>
          <w:b/>
          <w:bCs/>
        </w:rPr>
        <w:t>Valutazione d’Impatto</w:t>
      </w:r>
      <w:r w:rsidRPr="00AC4E21">
        <w:rPr>
          <w:rFonts w:ascii="Arial" w:hAnsi="Arial" w:cs="Arial"/>
        </w:rPr>
        <w:t>, volta a rendicontare in modo trasparente i risultati ottenuti in termini di valore sociale, ambientale e relazionale. L’impresa ha scelto di ispirarsi ai principi dell’Economia Civile, un paradigma che pone il benessere collettivo al centro dell’agire economico. In quest’ottica, la valutazione d’impatto non si limita agli indicatori ambientali e sociali tradizionali, ma considera anche le dimensioni relazionali, partecipative e generative dell’</w:t>
      </w:r>
      <w:proofErr w:type="spellStart"/>
      <w:r w:rsidRPr="00AC4E21">
        <w:rPr>
          <w:rFonts w:ascii="Arial" w:hAnsi="Arial" w:cs="Arial"/>
        </w:rPr>
        <w:t>attivita</w:t>
      </w:r>
      <w:proofErr w:type="spellEnd"/>
      <w:r w:rsidRPr="00AC4E21">
        <w:rPr>
          <w:rFonts w:ascii="Arial" w:hAnsi="Arial" w:cs="Arial"/>
        </w:rPr>
        <w:t>̀ d’impresa.</w:t>
      </w:r>
    </w:p>
    <w:p w14:paraId="70049122" w14:textId="77777777" w:rsidR="00AC4E21" w:rsidRPr="00AC4E21" w:rsidRDefault="00AC4E21" w:rsidP="00AC4E21">
      <w:pPr>
        <w:ind w:left="-426"/>
        <w:jc w:val="both"/>
        <w:rPr>
          <w:rFonts w:ascii="Arial" w:hAnsi="Arial" w:cs="Arial"/>
        </w:rPr>
      </w:pPr>
    </w:p>
    <w:p w14:paraId="62A57457" w14:textId="5655CE7D" w:rsidR="00AC4E21" w:rsidRPr="00AC4E21" w:rsidRDefault="00AC4E21" w:rsidP="00AC4E21">
      <w:pPr>
        <w:ind w:left="-426"/>
        <w:jc w:val="both"/>
        <w:rPr>
          <w:rFonts w:ascii="Arial" w:hAnsi="Arial" w:cs="Arial"/>
        </w:rPr>
      </w:pPr>
      <w:r w:rsidRPr="00AC4E21">
        <w:rPr>
          <w:rFonts w:ascii="Arial" w:hAnsi="Arial" w:cs="Arial"/>
        </w:rPr>
        <w:t xml:space="preserve">“Il nostro Report di Sostenibilità segna un punto di svolta in cui </w:t>
      </w:r>
      <w:r w:rsidRPr="00AC4E21">
        <w:rPr>
          <w:rFonts w:ascii="Arial" w:eastAsia="Times New Roman" w:hAnsi="Arial" w:cs="Arial"/>
          <w:color w:val="000000"/>
        </w:rPr>
        <w:t>la trasparenza metodologica diventa un fattore competitivo</w:t>
      </w:r>
      <w:r w:rsidR="00277D77">
        <w:rPr>
          <w:rFonts w:ascii="Arial" w:eastAsia="Times New Roman" w:hAnsi="Arial" w:cs="Arial"/>
          <w:color w:val="000000"/>
        </w:rPr>
        <w:t xml:space="preserve"> – conclude </w:t>
      </w:r>
      <w:r w:rsidR="00277D77" w:rsidRPr="00277D77">
        <w:rPr>
          <w:rFonts w:ascii="Arial" w:eastAsia="Times New Roman" w:hAnsi="Arial" w:cs="Arial"/>
          <w:b/>
          <w:bCs/>
          <w:color w:val="000000"/>
        </w:rPr>
        <w:t xml:space="preserve">Giampaolo </w:t>
      </w:r>
      <w:proofErr w:type="spellStart"/>
      <w:r w:rsidR="00277D77" w:rsidRPr="00277D77">
        <w:rPr>
          <w:rFonts w:ascii="Arial" w:eastAsia="Times New Roman" w:hAnsi="Arial" w:cs="Arial"/>
          <w:b/>
          <w:bCs/>
          <w:color w:val="000000"/>
        </w:rPr>
        <w:t>Quatraro</w:t>
      </w:r>
      <w:proofErr w:type="spellEnd"/>
      <w:r w:rsidR="00277D77">
        <w:rPr>
          <w:rFonts w:ascii="Arial" w:eastAsia="Times New Roman" w:hAnsi="Arial" w:cs="Arial"/>
          <w:color w:val="000000"/>
        </w:rPr>
        <w:t>, presidente e CVO della società -.</w:t>
      </w:r>
      <w:r w:rsidRPr="00AC4E21">
        <w:rPr>
          <w:rFonts w:ascii="Arial" w:eastAsia="Times New Roman" w:hAnsi="Arial" w:cs="Arial"/>
          <w:color w:val="000000"/>
        </w:rPr>
        <w:t xml:space="preserve"> Riteniamo che elementi apparentemente tecnici assumeranno un'importanza crescente per il mondo finanziario: </w:t>
      </w:r>
      <w:proofErr w:type="spellStart"/>
      <w:r w:rsidRPr="00AC4E21">
        <w:rPr>
          <w:rFonts w:ascii="Arial" w:eastAsia="Times New Roman" w:hAnsi="Arial" w:cs="Arial"/>
          <w:color w:val="000000"/>
        </w:rPr>
        <w:t>ForGreen</w:t>
      </w:r>
      <w:proofErr w:type="spellEnd"/>
      <w:r w:rsidRPr="00AC4E21">
        <w:rPr>
          <w:rFonts w:ascii="Arial" w:eastAsia="Times New Roman" w:hAnsi="Arial" w:cs="Arial"/>
          <w:color w:val="000000"/>
        </w:rPr>
        <w:t xml:space="preserve"> si propone come interlocutore affidabile per la capacità di spiegare come vengono prodotti i dati, quali metodologie sono adottate e come sono gestite eventuali revisioni per rendere le informazioni ESG realmente utilizzabili nei processi di valutazione del rischio”.</w:t>
      </w:r>
    </w:p>
    <w:p w14:paraId="006D12B0" w14:textId="77777777" w:rsidR="00AC4E21" w:rsidRPr="00AC4E21" w:rsidRDefault="00AC4E21" w:rsidP="00AC4E21">
      <w:pPr>
        <w:rPr>
          <w:rFonts w:ascii="Arial" w:hAnsi="Arial" w:cs="Arial"/>
        </w:rPr>
      </w:pPr>
    </w:p>
    <w:p w14:paraId="75FF7E8B" w14:textId="77777777" w:rsidR="00910390" w:rsidRDefault="00910390" w:rsidP="00910390">
      <w:pPr>
        <w:jc w:val="both"/>
        <w:rPr>
          <w:rFonts w:ascii="Arial" w:eastAsia="Arial" w:hAnsi="Arial" w:cs="Arial"/>
          <w:color w:val="000000"/>
        </w:rPr>
      </w:pPr>
    </w:p>
    <w:p w14:paraId="65A68A36" w14:textId="77777777" w:rsidR="0066441F" w:rsidRDefault="00000000">
      <w:pPr>
        <w:pBdr>
          <w:top w:val="nil"/>
          <w:left w:val="nil"/>
          <w:bottom w:val="nil"/>
          <w:right w:val="nil"/>
          <w:between w:val="nil"/>
        </w:pBdr>
        <w:ind w:left="-426"/>
        <w:jc w:val="center"/>
        <w:rPr>
          <w:rFonts w:ascii="Arial" w:eastAsia="Arial" w:hAnsi="Arial" w:cs="Arial"/>
          <w:b/>
          <w:bCs/>
          <w:i/>
          <w:iCs/>
          <w:color w:val="000000"/>
          <w:sz w:val="27"/>
          <w:szCs w:val="27"/>
        </w:rPr>
      </w:pPr>
      <w:r>
        <w:rPr>
          <w:rFonts w:ascii="Arial" w:eastAsia="Arial" w:hAnsi="Arial" w:cs="Arial"/>
          <w:b/>
          <w:bCs/>
          <w:i/>
          <w:iCs/>
          <w:color w:val="000000"/>
        </w:rPr>
        <w:t>– FINE –</w:t>
      </w:r>
    </w:p>
    <w:p w14:paraId="4111333A" w14:textId="77777777" w:rsidR="0066441F" w:rsidRDefault="0066441F">
      <w:pPr>
        <w:ind w:left="-426"/>
        <w:rPr>
          <w:rFonts w:ascii="Arial" w:eastAsia="Arial" w:hAnsi="Arial" w:cs="Arial"/>
          <w:sz w:val="20"/>
          <w:szCs w:val="20"/>
        </w:rPr>
      </w:pPr>
    </w:p>
    <w:p w14:paraId="4BE70A57" w14:textId="77777777" w:rsidR="0066441F" w:rsidRDefault="00000000">
      <w:pPr>
        <w:ind w:left="-426"/>
        <w:jc w:val="both"/>
        <w:rPr>
          <w:rFonts w:ascii="Arial" w:eastAsia="Arial" w:hAnsi="Arial" w:cs="Arial"/>
          <w:color w:val="000000"/>
          <w:sz w:val="20"/>
          <w:szCs w:val="20"/>
        </w:rPr>
      </w:pPr>
      <w:r>
        <w:rPr>
          <w:rFonts w:ascii="Arial" w:eastAsia="Arial" w:hAnsi="Arial" w:cs="Arial"/>
          <w:b/>
          <w:bCs/>
          <w:color w:val="000000"/>
          <w:sz w:val="20"/>
          <w:szCs w:val="20"/>
          <w:u w:val="single"/>
        </w:rPr>
        <w:t>Contatti per la stampa</w:t>
      </w:r>
    </w:p>
    <w:p w14:paraId="79849660" w14:textId="77777777" w:rsidR="0066441F" w:rsidRDefault="00000000">
      <w:pPr>
        <w:ind w:left="-426"/>
        <w:jc w:val="both"/>
        <w:rPr>
          <w:rFonts w:ascii="Arial" w:eastAsia="Arial" w:hAnsi="Arial" w:cs="Arial"/>
          <w:color w:val="000000"/>
          <w:sz w:val="20"/>
          <w:szCs w:val="20"/>
        </w:rPr>
      </w:pPr>
      <w:proofErr w:type="spellStart"/>
      <w:r>
        <w:rPr>
          <w:rFonts w:ascii="Arial" w:eastAsia="Arial" w:hAnsi="Arial" w:cs="Arial"/>
          <w:b/>
          <w:bCs/>
          <w:color w:val="000000"/>
          <w:sz w:val="20"/>
          <w:szCs w:val="20"/>
        </w:rPr>
        <w:t>ReputationLab</w:t>
      </w:r>
      <w:proofErr w:type="spellEnd"/>
    </w:p>
    <w:p w14:paraId="6E89DADB" w14:textId="77777777" w:rsidR="0066441F" w:rsidRDefault="00000000">
      <w:pPr>
        <w:ind w:left="-426"/>
        <w:jc w:val="both"/>
        <w:rPr>
          <w:rFonts w:ascii="Arial" w:eastAsia="Arial" w:hAnsi="Arial" w:cs="Arial"/>
          <w:color w:val="000000"/>
          <w:sz w:val="20"/>
          <w:szCs w:val="20"/>
        </w:rPr>
      </w:pPr>
      <w:r>
        <w:rPr>
          <w:rFonts w:ascii="Arial" w:eastAsia="Arial" w:hAnsi="Arial" w:cs="Arial"/>
          <w:color w:val="000000"/>
          <w:sz w:val="20"/>
          <w:szCs w:val="20"/>
        </w:rPr>
        <w:t xml:space="preserve">Alessandro Garavaglia, 338.9099342, </w:t>
      </w:r>
      <w:hyperlink r:id="rId7">
        <w:r w:rsidR="0066441F">
          <w:rPr>
            <w:rFonts w:ascii="Arial" w:eastAsia="Arial" w:hAnsi="Arial" w:cs="Arial"/>
            <w:color w:val="0000FF"/>
            <w:sz w:val="20"/>
            <w:szCs w:val="20"/>
            <w:u w:val="single"/>
          </w:rPr>
          <w:t>press@reputationlab.it</w:t>
        </w:r>
      </w:hyperlink>
      <w:r>
        <w:rPr>
          <w:rFonts w:ascii="Arial" w:eastAsia="Arial" w:hAnsi="Arial" w:cs="Arial"/>
          <w:color w:val="000000"/>
          <w:sz w:val="20"/>
          <w:szCs w:val="20"/>
        </w:rPr>
        <w:t> </w:t>
      </w:r>
    </w:p>
    <w:p w14:paraId="18772009" w14:textId="7AB39E46" w:rsidR="0066441F" w:rsidRPr="007977C5" w:rsidRDefault="00000000" w:rsidP="007977C5">
      <w:pPr>
        <w:ind w:left="-426"/>
        <w:rPr>
          <w:rFonts w:ascii="Arial" w:eastAsia="Arial" w:hAnsi="Arial" w:cs="Arial"/>
          <w:sz w:val="20"/>
          <w:szCs w:val="20"/>
        </w:rPr>
      </w:pPr>
      <w:r>
        <w:rPr>
          <w:rFonts w:ascii="Arial" w:eastAsia="Arial" w:hAnsi="Arial" w:cs="Arial"/>
          <w:color w:val="000000"/>
          <w:sz w:val="20"/>
          <w:szCs w:val="20"/>
        </w:rPr>
        <w:t xml:space="preserve">Santina Giannone, 339.7047770, </w:t>
      </w:r>
      <w:hyperlink r:id="rId8">
        <w:r w:rsidR="0066441F">
          <w:rPr>
            <w:rFonts w:ascii="Arial" w:eastAsia="Arial" w:hAnsi="Arial" w:cs="Arial"/>
            <w:color w:val="0000FF"/>
            <w:sz w:val="20"/>
            <w:szCs w:val="20"/>
            <w:u w:val="single"/>
          </w:rPr>
          <w:t>santina@reputationlab.it</w:t>
        </w:r>
      </w:hyperlink>
    </w:p>
    <w:sectPr w:rsidR="0066441F" w:rsidRPr="007977C5">
      <w:headerReference w:type="even" r:id="rId9"/>
      <w:headerReference w:type="default" r:id="rId10"/>
      <w:footerReference w:type="even" r:id="rId11"/>
      <w:footerReference w:type="default" r:id="rId12"/>
      <w:headerReference w:type="first" r:id="rId13"/>
      <w:footerReference w:type="first" r:id="rId14"/>
      <w:pgSz w:w="11906" w:h="16838"/>
      <w:pgMar w:top="3544" w:right="991" w:bottom="3544" w:left="1134"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0F14A" w14:textId="77777777" w:rsidR="00A46EF5" w:rsidRDefault="00A46EF5">
      <w:r>
        <w:separator/>
      </w:r>
    </w:p>
  </w:endnote>
  <w:endnote w:type="continuationSeparator" w:id="0">
    <w:p w14:paraId="52AA1808" w14:textId="77777777" w:rsidR="00A46EF5" w:rsidRDefault="00A4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gtree">
    <w:altName w:val="Calibri"/>
    <w:panose1 w:val="020B0604020202020204"/>
    <w:charset w:val="00"/>
    <w:family w:val="auto"/>
    <w:pitch w:val="variable"/>
    <w:sig w:usb0="A000006F" w:usb1="0000007B" w:usb2="00000000" w:usb3="00000000" w:csb0="00000093" w:csb1="00000000"/>
    <w:embedRegular r:id="rId1" w:fontKey="{CE70EB5B-E3B8-5B46-91B6-0635A02572B2}"/>
    <w:embedBold r:id="rId2" w:fontKey="{00044DD5-58BB-AC47-9278-1FF0957AAFBE}"/>
    <w:embedBoldItalic r:id="rId3" w:fontKey="{A260C86A-7765-2449-942C-DC9121F3CC96}"/>
  </w:font>
  <w:font w:name="Arial">
    <w:panose1 w:val="020B0604020202020204"/>
    <w:charset w:val="00"/>
    <w:family w:val="swiss"/>
    <w:pitch w:val="variable"/>
    <w:sig w:usb0="E0002AFF" w:usb1="C0007843" w:usb2="00000009" w:usb3="00000000" w:csb0="000001FF" w:csb1="00000000"/>
    <w:embedRegular r:id="rId4" w:fontKey="{B0947A75-9313-844F-901B-C7AE8C3FE333}"/>
    <w:embedBold r:id="rId5" w:fontKey="{328A58EA-2608-094A-BDD0-F5834BDF5472}"/>
    <w:embedBoldItalic r:id="rId6" w:fontKey="{89F2657C-9FFC-2748-BD2E-89A921627D3B}"/>
  </w:font>
  <w:font w:name="Times New Roman">
    <w:panose1 w:val="02020603050405020304"/>
    <w:charset w:val="00"/>
    <w:family w:val="roman"/>
    <w:pitch w:val="variable"/>
    <w:sig w:usb0="E0002EFF" w:usb1="C000785B" w:usb2="00000009" w:usb3="00000000" w:csb0="000001FF" w:csb1="00000000"/>
    <w:embedRegular r:id="rId7" w:fontKey="{D702200F-373E-914F-B04C-73A178ED058B}"/>
    <w:embedBold r:id="rId8" w:fontKey="{2757D4D8-7C5A-DA4F-AF9C-B07C8D3C2A17}"/>
  </w:font>
  <w:font w:name="Georgia">
    <w:panose1 w:val="02040502050405020303"/>
    <w:charset w:val="00"/>
    <w:family w:val="roman"/>
    <w:pitch w:val="variable"/>
    <w:sig w:usb0="00000287" w:usb1="00000000" w:usb2="00000000" w:usb3="00000000" w:csb0="0000009F" w:csb1="00000000"/>
    <w:embedItalic r:id="rId9" w:fontKey="{EC55A1D1-29FA-5847-B40F-4E99FE0E3A1D}"/>
  </w:font>
  <w:font w:name="Calibri">
    <w:panose1 w:val="020F0502020204030204"/>
    <w:charset w:val="00"/>
    <w:family w:val="swiss"/>
    <w:pitch w:val="variable"/>
    <w:sig w:usb0="E0002AFF" w:usb1="C000247B" w:usb2="00000009" w:usb3="00000000" w:csb0="000001FF" w:csb1="00000000"/>
    <w:embedRegular r:id="rId10" w:fontKey="{C7F85987-7FB0-9143-87A6-FF22ABB5BEDC}"/>
  </w:font>
  <w:font w:name="Cambria">
    <w:panose1 w:val="02040503050406030204"/>
    <w:charset w:val="00"/>
    <w:family w:val="roman"/>
    <w:pitch w:val="variable"/>
    <w:sig w:usb0="E00002FF" w:usb1="400004FF" w:usb2="00000000" w:usb3="00000000" w:csb0="0000019F" w:csb1="00000000"/>
    <w:embedRegular r:id="rId11" w:fontKey="{DDD0B28C-C2E8-484E-8E09-EC39B7436E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55EA" w14:textId="77777777" w:rsidR="0066441F" w:rsidRDefault="0066441F">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88DAF" w14:textId="77777777" w:rsidR="0066441F" w:rsidRDefault="00000000">
    <w:pPr>
      <w:pBdr>
        <w:top w:val="nil"/>
        <w:left w:val="nil"/>
        <w:bottom w:val="nil"/>
        <w:right w:val="nil"/>
        <w:between w:val="nil"/>
      </w:pBdr>
      <w:tabs>
        <w:tab w:val="center" w:pos="4819"/>
        <w:tab w:val="right" w:pos="9638"/>
      </w:tabs>
      <w:rPr>
        <w:rFonts w:ascii="Arial" w:eastAsia="Arial" w:hAnsi="Arial" w:cs="Arial"/>
        <w:color w:val="000000"/>
      </w:rPr>
    </w:pPr>
    <w:r>
      <w:rPr>
        <w:noProof/>
      </w:rPr>
      <mc:AlternateContent>
        <mc:Choice Requires="wps">
          <w:drawing>
            <wp:anchor distT="0" distB="0" distL="114300" distR="114300" simplePos="0" relativeHeight="251660288" behindDoc="0" locked="0" layoutInCell="1" hidden="0" allowOverlap="1" wp14:anchorId="75C3CCCE" wp14:editId="739501B4">
              <wp:simplePos x="0" y="0"/>
              <wp:positionH relativeFrom="column">
                <wp:posOffset>-951</wp:posOffset>
              </wp:positionH>
              <wp:positionV relativeFrom="paragraph">
                <wp:posOffset>9830753</wp:posOffset>
              </wp:positionV>
              <wp:extent cx="7569200" cy="890270"/>
              <wp:effectExtent l="0" t="0" r="0" b="0"/>
              <wp:wrapNone/>
              <wp:docPr id="4" name="Figura a mano libera 4"/>
              <wp:cNvGraphicFramePr/>
              <a:graphic xmlns:a="http://schemas.openxmlformats.org/drawingml/2006/main">
                <a:graphicData uri="http://schemas.microsoft.com/office/word/2010/wordprocessingShape">
                  <wps:wsp>
                    <wps:cNvSpPr/>
                    <wps:spPr>
                      <a:xfrm rot="-5400000">
                        <a:off x="4905628" y="163"/>
                        <a:ext cx="880745" cy="7559675"/>
                      </a:xfrm>
                      <a:custGeom>
                        <a:avLst/>
                        <a:gdLst/>
                        <a:ahLst/>
                        <a:cxnLst/>
                        <a:rect l="l" t="t" r="r" b="b"/>
                        <a:pathLst>
                          <a:path w="828206" h="7071998" extrusionOk="0">
                            <a:moveTo>
                              <a:pt x="0" y="0"/>
                            </a:moveTo>
                            <a:lnTo>
                              <a:pt x="452041" y="4455"/>
                            </a:lnTo>
                            <a:cubicBezTo>
                              <a:pt x="689659" y="1038146"/>
                              <a:pt x="822750" y="2358074"/>
                              <a:pt x="828040" y="3535998"/>
                            </a:cubicBezTo>
                            <a:cubicBezTo>
                              <a:pt x="833330" y="4713922"/>
                              <a:pt x="712458" y="6243361"/>
                              <a:pt x="483780" y="7071998"/>
                            </a:cubicBezTo>
                            <a:lnTo>
                              <a:pt x="0" y="7071995"/>
                            </a:lnTo>
                            <a:lnTo>
                              <a:pt x="0" y="0"/>
                            </a:lnTo>
                            <a:close/>
                          </a:path>
                        </a:pathLst>
                      </a:custGeom>
                      <a:solidFill>
                        <a:srgbClr val="97C00E"/>
                      </a:solidFill>
                      <a:ln>
                        <a:noFill/>
                      </a:ln>
                    </wps:spPr>
                    <wps:txbx>
                      <w:txbxContent>
                        <w:p w14:paraId="0E533FC1" w14:textId="77777777" w:rsidR="0066441F" w:rsidRDefault="0066441F">
                          <w:pPr>
                            <w:textDirection w:val="btLr"/>
                          </w:pPr>
                        </w:p>
                      </w:txbxContent>
                    </wps:txbx>
                    <wps:bodyPr spcFirstLastPara="1" wrap="square" lIns="91425" tIns="91425" rIns="91425" bIns="91425" anchor="ctr" anchorCtr="0">
                      <a:noAutofit/>
                    </wps:bodyPr>
                  </wps:wsp>
                </a:graphicData>
              </a:graphic>
            </wp:anchor>
          </w:drawing>
        </mc:Choice>
        <mc:Fallback>
          <w:pict>
            <v:shape w14:anchorId="75C3CCCE" id="Figura a mano libera 4" o:spid="_x0000_s1026" style="position:absolute;margin-left:-.05pt;margin-top:774.1pt;width:596pt;height:70.1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828206,7071998"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" adj="-11796480,,5400" path="m,l452041,4455c689659,1038146,822750,2358074,828040,3535998,833330,4713922,712458,6243361,483780,7071998l,7071995,,xe" fillcolor="#97c00e" stroked="f">
              <v:stroke joinstyle="miter"/>
              <v:formulas/>
              <v:path arrowok="t" o:extrusionok="f" o:connecttype="custom" textboxrect="0,0,828206,7071998"/>
              <v:textbox inset="2.53958mm,2.53958mm,2.53958mm,2.53958mm">
                <w:txbxContent>
                  <w:p w14:paraId="0E533FC1" w14:textId="77777777" w:rsidR="0066441F" w:rsidRDefault="0066441F">
                    <w:pPr>
                      <w:textDirection w:val="btLr"/>
                    </w:pPr>
                  </w:p>
                </w:txbxContent>
              </v:textbox>
            </v:shape>
          </w:pict>
        </mc:Fallback>
      </mc:AlternateContent>
    </w:r>
    <w:r>
      <w:rPr>
        <w:noProof/>
      </w:rPr>
      <mc:AlternateContent>
        <mc:Choice Requires="wps">
          <w:drawing>
            <wp:anchor distT="0" distB="0" distL="114300" distR="114300" simplePos="0" relativeHeight="251661312" behindDoc="0" locked="0" layoutInCell="1" hidden="0" allowOverlap="1" wp14:anchorId="366F54CC" wp14:editId="6814DA11">
              <wp:simplePos x="0" y="0"/>
              <wp:positionH relativeFrom="column">
                <wp:posOffset>-951</wp:posOffset>
              </wp:positionH>
              <wp:positionV relativeFrom="paragraph">
                <wp:posOffset>9830753</wp:posOffset>
              </wp:positionV>
              <wp:extent cx="7569200" cy="890270"/>
              <wp:effectExtent l="0" t="0" r="0" b="0"/>
              <wp:wrapNone/>
              <wp:docPr id="2" name="Figura a mano libera 2"/>
              <wp:cNvGraphicFramePr/>
              <a:graphic xmlns:a="http://schemas.openxmlformats.org/drawingml/2006/main">
                <a:graphicData uri="http://schemas.microsoft.com/office/word/2010/wordprocessingShape">
                  <wps:wsp>
                    <wps:cNvSpPr/>
                    <wps:spPr>
                      <a:xfrm rot="-5400000">
                        <a:off x="4905628" y="163"/>
                        <a:ext cx="880745" cy="7559675"/>
                      </a:xfrm>
                      <a:custGeom>
                        <a:avLst/>
                        <a:gdLst/>
                        <a:ahLst/>
                        <a:cxnLst/>
                        <a:rect l="l" t="t" r="r" b="b"/>
                        <a:pathLst>
                          <a:path w="828206" h="7071998" extrusionOk="0">
                            <a:moveTo>
                              <a:pt x="0" y="0"/>
                            </a:moveTo>
                            <a:lnTo>
                              <a:pt x="452041" y="4455"/>
                            </a:lnTo>
                            <a:cubicBezTo>
                              <a:pt x="689659" y="1038146"/>
                              <a:pt x="822750" y="2358074"/>
                              <a:pt x="828040" y="3535998"/>
                            </a:cubicBezTo>
                            <a:cubicBezTo>
                              <a:pt x="833330" y="4713922"/>
                              <a:pt x="712458" y="6243361"/>
                              <a:pt x="483780" y="7071998"/>
                            </a:cubicBezTo>
                            <a:lnTo>
                              <a:pt x="0" y="7071995"/>
                            </a:lnTo>
                            <a:lnTo>
                              <a:pt x="0" y="0"/>
                            </a:lnTo>
                            <a:close/>
                          </a:path>
                        </a:pathLst>
                      </a:custGeom>
                      <a:solidFill>
                        <a:srgbClr val="97C00E"/>
                      </a:solidFill>
                      <a:ln>
                        <a:noFill/>
                      </a:ln>
                    </wps:spPr>
                    <wps:txbx>
                      <w:txbxContent>
                        <w:p w14:paraId="5B687BC9" w14:textId="77777777" w:rsidR="0066441F" w:rsidRDefault="0066441F">
                          <w:pPr>
                            <w:textDirection w:val="btLr"/>
                          </w:pPr>
                        </w:p>
                      </w:txbxContent>
                    </wps:txbx>
                    <wps:bodyPr spcFirstLastPara="1" wrap="square" lIns="91425" tIns="91425" rIns="91425" bIns="91425" anchor="ctr" anchorCtr="0">
                      <a:noAutofit/>
                    </wps:bodyPr>
                  </wps:wsp>
                </a:graphicData>
              </a:graphic>
            </wp:anchor>
          </w:drawing>
        </mc:Choice>
        <mc:Fallback xmlns:w16cei="http://schemas.microsoft.com/office/word/2026/wordml/cei">
          <w:pict>
            <v:shape w14:anchorId="366F54CC" id="Figura a mano libera 2" o:spid="_x0000_s1027" style="position:absolute;margin-left:-.05pt;margin-top:774.1pt;width:596pt;height:70.1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828206,7071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" adj="-11796480,,5400" path="m,l452041,4455c689659,1038146,822750,2358074,828040,3535998,833330,4713922,712458,6243361,483780,7071998l,7071995,,xe" fillcolor="#97c00e" stroked="f">
              <v:stroke joinstyle="miter"/>
              <v:formulas/>
              <v:path arrowok="t" o:extrusionok="f" o:connecttype="custom" textboxrect="0,0,828206,7071998"/>
              <v:textbox inset="2.53958mm,2.53958mm,2.53958mm,2.53958mm">
                <w:txbxContent>
                  <w:p w14:paraId="5B687BC9" w14:textId="77777777" w:rsidR="0066441F" w:rsidRDefault="0066441F">
                    <w:pPr>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02FEB4B7" wp14:editId="00679199">
              <wp:simplePos x="0" y="0"/>
              <wp:positionH relativeFrom="column">
                <wp:posOffset>-951</wp:posOffset>
              </wp:positionH>
              <wp:positionV relativeFrom="paragraph">
                <wp:posOffset>9830753</wp:posOffset>
              </wp:positionV>
              <wp:extent cx="7569200" cy="890270"/>
              <wp:effectExtent l="0" t="0" r="0" b="0"/>
              <wp:wrapNone/>
              <wp:docPr id="1" name="Figura a mano libera 1"/>
              <wp:cNvGraphicFramePr/>
              <a:graphic xmlns:a="http://schemas.openxmlformats.org/drawingml/2006/main">
                <a:graphicData uri="http://schemas.microsoft.com/office/word/2010/wordprocessingShape">
                  <wps:wsp>
                    <wps:cNvSpPr/>
                    <wps:spPr>
                      <a:xfrm rot="-5400000">
                        <a:off x="4905628" y="163"/>
                        <a:ext cx="880745" cy="7559675"/>
                      </a:xfrm>
                      <a:custGeom>
                        <a:avLst/>
                        <a:gdLst/>
                        <a:ahLst/>
                        <a:cxnLst/>
                        <a:rect l="l" t="t" r="r" b="b"/>
                        <a:pathLst>
                          <a:path w="828206" h="7071998" extrusionOk="0">
                            <a:moveTo>
                              <a:pt x="0" y="0"/>
                            </a:moveTo>
                            <a:lnTo>
                              <a:pt x="452041" y="4455"/>
                            </a:lnTo>
                            <a:cubicBezTo>
                              <a:pt x="689659" y="1038146"/>
                              <a:pt x="822750" y="2358074"/>
                              <a:pt x="828040" y="3535998"/>
                            </a:cubicBezTo>
                            <a:cubicBezTo>
                              <a:pt x="833330" y="4713922"/>
                              <a:pt x="712458" y="6243361"/>
                              <a:pt x="483780" y="7071998"/>
                            </a:cubicBezTo>
                            <a:lnTo>
                              <a:pt x="0" y="7071995"/>
                            </a:lnTo>
                            <a:lnTo>
                              <a:pt x="0" y="0"/>
                            </a:lnTo>
                            <a:close/>
                          </a:path>
                        </a:pathLst>
                      </a:custGeom>
                      <a:solidFill>
                        <a:srgbClr val="97C00E"/>
                      </a:solidFill>
                      <a:ln>
                        <a:noFill/>
                      </a:ln>
                    </wps:spPr>
                    <wps:txbx>
                      <w:txbxContent>
                        <w:p w14:paraId="0B42C8A0" w14:textId="77777777" w:rsidR="0066441F" w:rsidRDefault="0066441F">
                          <w:pPr>
                            <w:textDirection w:val="btLr"/>
                          </w:pPr>
                        </w:p>
                      </w:txbxContent>
                    </wps:txbx>
                    <wps:bodyPr spcFirstLastPara="1" wrap="square" lIns="91425" tIns="91425" rIns="91425" bIns="91425" anchor="ctr" anchorCtr="0">
                      <a:noAutofit/>
                    </wps:bodyPr>
                  </wps:wsp>
                </a:graphicData>
              </a:graphic>
            </wp:anchor>
          </w:drawing>
        </mc:Choice>
        <mc:Fallback xmlns:w16cei="http://schemas.microsoft.com/office/word/2026/wordml/cei">
          <w:pict>
            <v:shape w14:anchorId="02FEB4B7" id="Figura a mano libera 1" o:spid="_x0000_s1028" style="position:absolute;margin-left:-.05pt;margin-top:774.1pt;width:596pt;height:70.1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828206,7071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" adj="-11796480,,5400" path="m,l452041,4455c689659,1038146,822750,2358074,828040,3535998,833330,4713922,712458,6243361,483780,7071998l,7071995,,xe" fillcolor="#97c00e" stroked="f">
              <v:stroke joinstyle="miter"/>
              <v:formulas/>
              <v:path arrowok="t" o:extrusionok="f" o:connecttype="custom" textboxrect="0,0,828206,7071998"/>
              <v:textbox inset="2.53958mm,2.53958mm,2.53958mm,2.53958mm">
                <w:txbxContent>
                  <w:p w14:paraId="0B42C8A0" w14:textId="77777777" w:rsidR="0066441F" w:rsidRDefault="0066441F">
                    <w:pPr>
                      <w:textDirection w:val="btLr"/>
                    </w:pPr>
                  </w:p>
                </w:txbxContent>
              </v:textbox>
            </v:shape>
          </w:pict>
        </mc:Fallback>
      </mc:AlternateContent>
    </w:r>
  </w:p>
  <w:p w14:paraId="40F075C6" w14:textId="77777777" w:rsidR="0066441F" w:rsidRDefault="0066441F">
    <w:pPr>
      <w:pBdr>
        <w:top w:val="nil"/>
        <w:left w:val="nil"/>
        <w:bottom w:val="nil"/>
        <w:right w:val="nil"/>
        <w:between w:val="nil"/>
      </w:pBdr>
      <w:tabs>
        <w:tab w:val="center" w:pos="4819"/>
        <w:tab w:val="right" w:pos="9638"/>
      </w:tabs>
      <w:rPr>
        <w:rFonts w:ascii="Arial" w:eastAsia="Arial" w:hAnsi="Arial" w:cs="Arial"/>
        <w:color w:val="000000"/>
      </w:rPr>
    </w:pPr>
  </w:p>
  <w:p w14:paraId="63E308DD" w14:textId="77777777" w:rsidR="0066441F" w:rsidRDefault="00000000">
    <w:pPr>
      <w:pBdr>
        <w:top w:val="nil"/>
        <w:left w:val="nil"/>
        <w:bottom w:val="nil"/>
        <w:right w:val="nil"/>
        <w:between w:val="nil"/>
      </w:pBdr>
      <w:tabs>
        <w:tab w:val="center" w:pos="4819"/>
        <w:tab w:val="right" w:pos="9638"/>
      </w:tabs>
      <w:rPr>
        <w:color w:val="000000"/>
      </w:rPr>
    </w:pPr>
    <w:r>
      <w:rPr>
        <w:noProof/>
      </w:rPr>
      <mc:AlternateContent>
        <mc:Choice Requires="wps">
          <w:drawing>
            <wp:anchor distT="0" distB="0" distL="114300" distR="114300" simplePos="0" relativeHeight="251663360" behindDoc="0" locked="0" layoutInCell="1" hidden="0" allowOverlap="1" wp14:anchorId="20494825" wp14:editId="36616856">
              <wp:simplePos x="0" y="0"/>
              <wp:positionH relativeFrom="column">
                <wp:posOffset>-951</wp:posOffset>
              </wp:positionH>
              <wp:positionV relativeFrom="paragraph">
                <wp:posOffset>7789863</wp:posOffset>
              </wp:positionV>
              <wp:extent cx="7569200" cy="890270"/>
              <wp:effectExtent l="0" t="0" r="0" b="0"/>
              <wp:wrapNone/>
              <wp:docPr id="3" name="Figura a mano libera 3"/>
              <wp:cNvGraphicFramePr/>
              <a:graphic xmlns:a="http://schemas.openxmlformats.org/drawingml/2006/main">
                <a:graphicData uri="http://schemas.microsoft.com/office/word/2010/wordprocessingShape">
                  <wps:wsp>
                    <wps:cNvSpPr/>
                    <wps:spPr>
                      <a:xfrm rot="-5400000">
                        <a:off x="4905628" y="163"/>
                        <a:ext cx="880745" cy="7559675"/>
                      </a:xfrm>
                      <a:custGeom>
                        <a:avLst/>
                        <a:gdLst/>
                        <a:ahLst/>
                        <a:cxnLst/>
                        <a:rect l="l" t="t" r="r" b="b"/>
                        <a:pathLst>
                          <a:path w="828206" h="7071998" extrusionOk="0">
                            <a:moveTo>
                              <a:pt x="0" y="0"/>
                            </a:moveTo>
                            <a:lnTo>
                              <a:pt x="452041" y="4455"/>
                            </a:lnTo>
                            <a:cubicBezTo>
                              <a:pt x="689659" y="1038146"/>
                              <a:pt x="822750" y="2358074"/>
                              <a:pt x="828040" y="3535998"/>
                            </a:cubicBezTo>
                            <a:cubicBezTo>
                              <a:pt x="833330" y="4713922"/>
                              <a:pt x="712458" y="6243361"/>
                              <a:pt x="483780" y="7071998"/>
                            </a:cubicBezTo>
                            <a:lnTo>
                              <a:pt x="0" y="7071995"/>
                            </a:lnTo>
                            <a:lnTo>
                              <a:pt x="0" y="0"/>
                            </a:lnTo>
                            <a:close/>
                          </a:path>
                        </a:pathLst>
                      </a:custGeom>
                      <a:solidFill>
                        <a:srgbClr val="97C00E"/>
                      </a:solidFill>
                      <a:ln>
                        <a:noFill/>
                      </a:ln>
                    </wps:spPr>
                    <wps:txbx>
                      <w:txbxContent>
                        <w:p w14:paraId="48E7E7D6" w14:textId="77777777" w:rsidR="0066441F" w:rsidRDefault="0066441F">
                          <w:pPr>
                            <w:textDirection w:val="btLr"/>
                          </w:pPr>
                        </w:p>
                      </w:txbxContent>
                    </wps:txbx>
                    <wps:bodyPr spcFirstLastPara="1" wrap="square" lIns="91425" tIns="91425" rIns="91425" bIns="91425" anchor="ctr" anchorCtr="0">
                      <a:noAutofit/>
                    </wps:bodyPr>
                  </wps:wsp>
                </a:graphicData>
              </a:graphic>
            </wp:anchor>
          </w:drawing>
        </mc:Choice>
        <mc:Fallback xmlns:w16cei="http://schemas.microsoft.com/office/word/2026/wordml/cei">
          <w:pict>
            <v:shape w14:anchorId="20494825" id="Figura a mano libera 3" o:spid="_x0000_s1029" style="position:absolute;margin-left:-.05pt;margin-top:613.4pt;width:596pt;height:70.1pt;rotation:-90;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828206,7071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" adj="-11796480,,5400" path="m,l452041,4455c689659,1038146,822750,2358074,828040,3535998,833330,4713922,712458,6243361,483780,7071998l,7071995,,xe" fillcolor="#97c00e" stroked="f">
              <v:stroke joinstyle="miter"/>
              <v:formulas/>
              <v:path arrowok="t" o:extrusionok="f" o:connecttype="custom" textboxrect="0,0,828206,7071998"/>
              <v:textbox inset="2.53958mm,2.53958mm,2.53958mm,2.53958mm">
                <w:txbxContent>
                  <w:p w14:paraId="48E7E7D6" w14:textId="77777777" w:rsidR="0066441F" w:rsidRDefault="0066441F">
                    <w:pPr>
                      <w:textDirection w:val="btLr"/>
                    </w:pPr>
                  </w:p>
                </w:txbxContent>
              </v:textbox>
            </v:shape>
          </w:pict>
        </mc:Fallback>
      </mc:AlternateContent>
    </w:r>
  </w:p>
  <w:p w14:paraId="17D8019F" w14:textId="77777777" w:rsidR="0066441F" w:rsidRDefault="0066441F">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36C4" w14:textId="77777777" w:rsidR="0066441F" w:rsidRDefault="0066441F">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ABDBB" w14:textId="77777777" w:rsidR="00A46EF5" w:rsidRDefault="00A46EF5">
      <w:r>
        <w:separator/>
      </w:r>
    </w:p>
  </w:footnote>
  <w:footnote w:type="continuationSeparator" w:id="0">
    <w:p w14:paraId="7F179E49" w14:textId="77777777" w:rsidR="00A46EF5" w:rsidRDefault="00A46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311E" w14:textId="77777777" w:rsidR="0066441F" w:rsidRDefault="0066441F">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8096F" w14:textId="77777777" w:rsidR="0066441F" w:rsidRDefault="00000000">
    <w:pPr>
      <w:pBdr>
        <w:top w:val="nil"/>
        <w:left w:val="nil"/>
        <w:bottom w:val="nil"/>
        <w:right w:val="nil"/>
        <w:between w:val="nil"/>
      </w:pBdr>
      <w:tabs>
        <w:tab w:val="center" w:pos="4819"/>
        <w:tab w:val="right" w:pos="9638"/>
      </w:tabs>
      <w:ind w:left="-1134"/>
      <w:rPr>
        <w:rFonts w:ascii="Arial" w:eastAsia="Arial" w:hAnsi="Arial" w:cs="Arial"/>
        <w:color w:val="000000"/>
      </w:rPr>
    </w:pPr>
    <w:r>
      <w:rPr>
        <w:noProof/>
      </w:rPr>
      <w:drawing>
        <wp:anchor distT="0" distB="0" distL="0" distR="0" simplePos="0" relativeHeight="251658240" behindDoc="1" locked="0" layoutInCell="1" hidden="0" allowOverlap="1" wp14:anchorId="2D2E60A9" wp14:editId="673EF82D">
          <wp:simplePos x="0" y="0"/>
          <wp:positionH relativeFrom="column">
            <wp:posOffset>-720089</wp:posOffset>
          </wp:positionH>
          <wp:positionV relativeFrom="paragraph">
            <wp:posOffset>2709</wp:posOffset>
          </wp:positionV>
          <wp:extent cx="7532914" cy="10655428"/>
          <wp:effectExtent l="0" t="0" r="0" b="0"/>
          <wp:wrapNone/>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7532914" cy="10655428"/>
                  </a:xfrm>
                  <a:prstGeom prst="rect">
                    <a:avLst/>
                  </a:prstGeom>
                  <a:ln/>
                </pic:spPr>
              </pic:pic>
            </a:graphicData>
          </a:graphic>
        </wp:anchor>
      </w:drawing>
    </w:r>
  </w:p>
  <w:p w14:paraId="5C6EC535" w14:textId="77777777" w:rsidR="0066441F" w:rsidRDefault="0066441F">
    <w:pPr>
      <w:pBdr>
        <w:top w:val="nil"/>
        <w:left w:val="nil"/>
        <w:bottom w:val="nil"/>
        <w:right w:val="nil"/>
        <w:between w:val="nil"/>
      </w:pBdr>
      <w:tabs>
        <w:tab w:val="center" w:pos="4819"/>
        <w:tab w:val="right" w:pos="9638"/>
      </w:tabs>
      <w:jc w:val="center"/>
      <w:rPr>
        <w:rFonts w:ascii="Arial" w:eastAsia="Arial" w:hAnsi="Arial" w:cs="Arial"/>
        <w:color w:val="000000"/>
      </w:rPr>
    </w:pPr>
  </w:p>
  <w:p w14:paraId="209072F3" w14:textId="77777777" w:rsidR="0066441F" w:rsidRDefault="0066441F">
    <w:pPr>
      <w:pBdr>
        <w:top w:val="nil"/>
        <w:left w:val="nil"/>
        <w:bottom w:val="nil"/>
        <w:right w:val="nil"/>
        <w:between w:val="nil"/>
      </w:pBdr>
      <w:tabs>
        <w:tab w:val="center" w:pos="4819"/>
        <w:tab w:val="right" w:pos="9638"/>
      </w:tabs>
      <w:rPr>
        <w:rFonts w:ascii="Arial" w:eastAsia="Arial" w:hAnsi="Arial" w:cs="Arial"/>
        <w:color w:val="000000"/>
      </w:rPr>
    </w:pPr>
  </w:p>
  <w:p w14:paraId="60968EF2" w14:textId="77777777" w:rsidR="0066441F" w:rsidRDefault="0066441F">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0B20" w14:textId="77777777" w:rsidR="0066441F" w:rsidRDefault="00000000">
    <w:pPr>
      <w:pBdr>
        <w:top w:val="nil"/>
        <w:left w:val="nil"/>
        <w:bottom w:val="nil"/>
        <w:right w:val="nil"/>
        <w:between w:val="nil"/>
      </w:pBdr>
      <w:tabs>
        <w:tab w:val="center" w:pos="4819"/>
        <w:tab w:val="right" w:pos="9638"/>
      </w:tabs>
      <w:ind w:left="-1134"/>
      <w:rPr>
        <w:color w:val="000000"/>
      </w:rPr>
    </w:pPr>
    <w:r>
      <w:rPr>
        <w:noProof/>
      </w:rPr>
      <w:drawing>
        <wp:anchor distT="0" distB="0" distL="0" distR="0" simplePos="0" relativeHeight="251659264" behindDoc="1" locked="0" layoutInCell="1" hidden="0" allowOverlap="1" wp14:anchorId="51EC7DF6" wp14:editId="5366E737">
          <wp:simplePos x="0" y="0"/>
          <wp:positionH relativeFrom="column">
            <wp:posOffset>-719455</wp:posOffset>
          </wp:positionH>
          <wp:positionV relativeFrom="paragraph">
            <wp:posOffset>1905</wp:posOffset>
          </wp:positionV>
          <wp:extent cx="7538551" cy="10663200"/>
          <wp:effectExtent l="0" t="0" r="5715" b="5080"/>
          <wp:wrapNone/>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538551" cy="10663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1F"/>
    <w:rsid w:val="000525EA"/>
    <w:rsid w:val="00065D94"/>
    <w:rsid w:val="000E0938"/>
    <w:rsid w:val="00122866"/>
    <w:rsid w:val="00226357"/>
    <w:rsid w:val="00277D77"/>
    <w:rsid w:val="00307BD2"/>
    <w:rsid w:val="00351C95"/>
    <w:rsid w:val="003A52CE"/>
    <w:rsid w:val="00501E08"/>
    <w:rsid w:val="00533F31"/>
    <w:rsid w:val="005D04F6"/>
    <w:rsid w:val="0066441F"/>
    <w:rsid w:val="0066667F"/>
    <w:rsid w:val="006B7A16"/>
    <w:rsid w:val="006E3CD2"/>
    <w:rsid w:val="00712810"/>
    <w:rsid w:val="00721932"/>
    <w:rsid w:val="00755556"/>
    <w:rsid w:val="007977C5"/>
    <w:rsid w:val="007B6055"/>
    <w:rsid w:val="00851CC8"/>
    <w:rsid w:val="008558C7"/>
    <w:rsid w:val="008B260B"/>
    <w:rsid w:val="008D6C35"/>
    <w:rsid w:val="008E58DC"/>
    <w:rsid w:val="00910390"/>
    <w:rsid w:val="00912B04"/>
    <w:rsid w:val="0095503A"/>
    <w:rsid w:val="009C76DD"/>
    <w:rsid w:val="009F2815"/>
    <w:rsid w:val="00A46EF5"/>
    <w:rsid w:val="00A53E3D"/>
    <w:rsid w:val="00AC4E21"/>
    <w:rsid w:val="00C639D9"/>
    <w:rsid w:val="00CF22A4"/>
    <w:rsid w:val="00D34530"/>
    <w:rsid w:val="00DB4CFD"/>
    <w:rsid w:val="00E81AA6"/>
    <w:rsid w:val="00EC5F8B"/>
    <w:rsid w:val="00F60F29"/>
    <w:rsid w:val="00FC2B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18063"/>
  <w15:docId w15:val="{452485B1-DFEC-DF46-996D-3479DC561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Figtree" w:hAnsi="Figtree" w:cs="Figtree"/>
        <w:sz w:val="22"/>
        <w:szCs w:val="22"/>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widowControl w:val="0"/>
      <w:outlineLvl w:val="1"/>
    </w:pPr>
    <w:rPr>
      <w:rFonts w:ascii="Arial" w:eastAsia="Arial" w:hAnsi="Arial" w:cs="Arial"/>
      <w:sz w:val="24"/>
      <w:szCs w:val="24"/>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unhideWhenUsed/>
    <w:rPr>
      <w:sz w:val="16"/>
      <w:szCs w:val="16"/>
    </w:rPr>
  </w:style>
  <w:style w:type="paragraph" w:styleId="NormaleWeb">
    <w:name w:val="Normal (Web)"/>
    <w:basedOn w:val="Normale"/>
    <w:uiPriority w:val="99"/>
    <w:semiHidden/>
    <w:unhideWhenUsed/>
    <w:rsid w:val="00AC4E21"/>
    <w:pPr>
      <w:spacing w:before="100" w:beforeAutospacing="1" w:after="100" w:afterAutospacing="1"/>
    </w:pPr>
    <w:rPr>
      <w:rFonts w:ascii="Times New Roman" w:eastAsia="Times New Roman" w:hAnsi="Times New Roman" w:cs="Times New Roman"/>
      <w:sz w:val="24"/>
      <w:szCs w:val="24"/>
      <w:lang w:val="it-IT"/>
    </w:rPr>
  </w:style>
  <w:style w:type="paragraph" w:styleId="Soggettocommento">
    <w:name w:val="annotation subject"/>
    <w:basedOn w:val="Testocommento"/>
    <w:next w:val="Testocommento"/>
    <w:link w:val="SoggettocommentoCarattere"/>
    <w:uiPriority w:val="99"/>
    <w:semiHidden/>
    <w:unhideWhenUsed/>
    <w:rsid w:val="00CF22A4"/>
    <w:rPr>
      <w:b/>
      <w:bCs/>
    </w:rPr>
  </w:style>
  <w:style w:type="character" w:customStyle="1" w:styleId="SoggettocommentoCarattere">
    <w:name w:val="Soggetto commento Carattere"/>
    <w:basedOn w:val="TestocommentoCarattere"/>
    <w:link w:val="Soggettocommento"/>
    <w:uiPriority w:val="99"/>
    <w:semiHidden/>
    <w:rsid w:val="00CF22A4"/>
    <w:rPr>
      <w:b/>
      <w:bCs/>
      <w:sz w:val="20"/>
      <w:szCs w:val="20"/>
    </w:rPr>
  </w:style>
  <w:style w:type="paragraph" w:styleId="Revisione">
    <w:name w:val="Revision"/>
    <w:hidden/>
    <w:uiPriority w:val="99"/>
    <w:semiHidden/>
    <w:rsid w:val="006B7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ntina@reputationlab.it"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press@reputationlab.it" TargetMode="Externa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xiREuxCQF8Ahokl3WRu6bXnOCw==">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B0C0998F7C03AC47A137D96F6FD73796" ma:contentTypeVersion="12" ma:contentTypeDescription="Creare un nuovo documento." ma:contentTypeScope="" ma:versionID="73922ffc5b5cf39f15a6d7a0314086d3">
  <xsd:schema xmlns:xsd="http://www.w3.org/2001/XMLSchema" xmlns:xs="http://www.w3.org/2001/XMLSchema" xmlns:p="http://schemas.microsoft.com/office/2006/metadata/properties" xmlns:ns2="b95dc946-013e-410e-b0b5-6f37427c3dd2" xmlns:ns3="9606577a-d613-4a79-a5e4-000a64d384af" targetNamespace="http://schemas.microsoft.com/office/2006/metadata/properties" ma:root="true" ma:fieldsID="138de955399a60e307be7eaa1a46efbb" ns2:_="" ns3:_="">
    <xsd:import namespace="b95dc946-013e-410e-b0b5-6f37427c3dd2"/>
    <xsd:import namespace="9606577a-d613-4a79-a5e4-000a64d384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dc946-013e-410e-b0b5-6f37427c3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56c7d068-81af-46bc-9596-1401770f0b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577a-d613-4a79-a5e4-000a64d384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3c8152a-bf32-4822-8f96-826d3131aa7b}" ma:internalName="TaxCatchAll" ma:showField="CatchAllData" ma:web="9606577a-d613-4a79-a5e4-000a64d384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5dc946-013e-410e-b0b5-6f37427c3dd2">
      <Terms xmlns="http://schemas.microsoft.com/office/infopath/2007/PartnerControls"/>
    </lcf76f155ced4ddcb4097134ff3c332f>
    <TaxCatchAll xmlns="9606577a-d613-4a79-a5e4-000a64d384af"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FD010E-00A4-4018-8BA9-2A8DA8AA0A42}"/>
</file>

<file path=customXml/itemProps3.xml><?xml version="1.0" encoding="utf-8"?>
<ds:datastoreItem xmlns:ds="http://schemas.openxmlformats.org/officeDocument/2006/customXml" ds:itemID="{C2E22E98-9F04-4BD5-8FE7-6E0735F6D85A}"/>
</file>

<file path=customXml/itemProps4.xml><?xml version="1.0" encoding="utf-8"?>
<ds:datastoreItem xmlns:ds="http://schemas.openxmlformats.org/officeDocument/2006/customXml" ds:itemID="{F692E382-84B1-40E1-9D43-0C9197F21610}"/>
</file>

<file path=docProps/app.xml><?xml version="1.0" encoding="utf-8"?>
<Properties xmlns="http://schemas.openxmlformats.org/officeDocument/2006/extended-properties" xmlns:vt="http://schemas.openxmlformats.org/officeDocument/2006/docPropsVTypes">
  <Template>Normal.dotm</Template>
  <TotalTime>0</TotalTime>
  <Pages>3</Pages>
  <Words>1033</Words>
  <Characters>5320</Characters>
  <Application>Microsoft Office Word</Application>
  <DocSecurity>0</DocSecurity>
  <Lines>120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Premi</dc:creator>
  <cp:lastModifiedBy>Microsoft Office User</cp:lastModifiedBy>
  <cp:revision>4</cp:revision>
  <dcterms:created xsi:type="dcterms:W3CDTF">2026-07-28T15:54:00Z</dcterms:created>
  <dcterms:modified xsi:type="dcterms:W3CDTF">2026-07-29T07:18:00Z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0x010100B0C0998F7C03AC47A137D96F6FD73796</vt:lpwstr>
  </property>
</Properties>
</file>